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6.8.0.0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1" name=""/>
                  <wp:cNvGraphicFramePr/>
                  <a:graphic xmlns:a="http://schemas.openxmlformats.org/drawingml/2006/main">
                    <a:graphicData uri="http://schemas.openxmlformats.org/drawingml/2006/picture">
                      <pic:pic xmlns:pic="http://schemas.openxmlformats.org/drawingml/2006/picture">
                        <pic:nvPicPr>
                          <pic:cNvPr id="1216966208" name=""/>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2" name=""/>
                  <wp:cNvGraphicFramePr/>
                  <a:graphic xmlns:a="http://schemas.openxmlformats.org/drawingml/2006/main">
                    <a:graphicData uri="http://schemas.openxmlformats.org/drawingml/2006/picture">
                      <pic:pic xmlns:pic="http://schemas.openxmlformats.org/drawingml/2006/picture">
                        <pic:nvPicPr>
                          <pic:cNvPr id="272436573" name=""/>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и храните.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4.0</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Изпратено</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25/01/2017 - 16:51:58 CET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r>
        <w:fldChar w:fldCharType="begin"/>
      </w:r>
      <w:r>
        <w:instrText xml:space="preserve"> HYPERLINK \l "_Toc256000000" </w:instrText>
      </w:r>
      <w:r>
        <w:fldChar w:fldCharType="separate"/>
      </w:r>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12</w:t>
      </w:r>
      <w:r>
        <w:fldChar w:fldCharType="end"/>
      </w:r>
      <w:r>
        <w:fldChar w:fldCharType="end"/>
      </w:r>
    </w:p>
    <w:p>
      <w:pPr>
        <w:pStyle w:val="TOC2"/>
        <w:rPr>
          <w:rFonts w:ascii="Calibri" w:hAnsi="Calibri"/>
          <w:noProof/>
          <w:sz w:val="22"/>
        </w:rPr>
      </w:pPr>
      <w:r>
        <w:fldChar w:fldCharType="begin"/>
      </w:r>
      <w:r>
        <w:instrText xml:space="preserve"> HYPERLINK \l "_Toc256000001" </w:instrText>
      </w:r>
      <w:r>
        <w:fldChar w:fldCharType="separate"/>
      </w:r>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"_Toc256000002" </w:instrText>
      </w:r>
      <w:r>
        <w:fldChar w:fldCharType="separate"/>
      </w:r>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"_Toc256000003" </w:instrText>
      </w:r>
      <w:r>
        <w:fldChar w:fldCharType="separate"/>
      </w:r>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"_Toc256000004" </w:instrText>
      </w:r>
      <w:r>
        <w:fldChar w:fldCharType="separate"/>
      </w:r>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"_Toc256000005" </w:instrText>
      </w:r>
      <w:r>
        <w:fldChar w:fldCharType="separate"/>
      </w:r>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"_Toc256000006" </w:instrText>
      </w:r>
      <w:r>
        <w:fldChar w:fldCharType="separate"/>
      </w:r>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13</w:t>
      </w:r>
      <w:r>
        <w:fldChar w:fldCharType="end"/>
      </w:r>
      <w:r>
        <w:fldChar w:fldCharType="end"/>
      </w:r>
    </w:p>
    <w:p>
      <w:pPr>
        <w:pStyle w:val="TOC1"/>
        <w:rPr>
          <w:rFonts w:ascii="Calibri" w:hAnsi="Calibri"/>
          <w:noProof/>
          <w:sz w:val="22"/>
        </w:rPr>
      </w:pPr>
      <w:r>
        <w:fldChar w:fldCharType="begin"/>
      </w:r>
      <w:r>
        <w:instrText xml:space="preserve"> HYPERLINK \l "_Toc256000007" </w:instrText>
      </w:r>
      <w:r>
        <w:fldChar w:fldCharType="separate"/>
      </w:r>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17</w:t>
      </w:r>
      <w:r>
        <w:fldChar w:fldCharType="end"/>
      </w:r>
      <w:r>
        <w:fldChar w:fldCharType="end"/>
      </w:r>
    </w:p>
    <w:p>
      <w:pPr>
        <w:pStyle w:val="TOC2"/>
        <w:rPr>
          <w:rFonts w:ascii="Calibri" w:hAnsi="Calibri"/>
          <w:noProof/>
          <w:sz w:val="22"/>
        </w:rPr>
      </w:pPr>
      <w:r>
        <w:fldChar w:fldCharType="begin"/>
      </w:r>
      <w:r>
        <w:instrText xml:space="preserve"> HYPERLINK \l "_Toc256000008" </w:instrText>
      </w:r>
      <w:r>
        <w:fldChar w:fldCharType="separate"/>
      </w:r>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17</w:t>
      </w:r>
      <w:r>
        <w:fldChar w:fldCharType="end"/>
      </w:r>
      <w:r>
        <w:fldChar w:fldCharType="end"/>
      </w:r>
    </w:p>
    <w:p>
      <w:pPr>
        <w:pStyle w:val="TOC2"/>
        <w:rPr>
          <w:rFonts w:ascii="Calibri" w:hAnsi="Calibri"/>
          <w:noProof/>
          <w:sz w:val="22"/>
        </w:rPr>
      </w:pPr>
      <w:r>
        <w:fldChar w:fldCharType="begin"/>
      </w:r>
      <w:r>
        <w:instrText xml:space="preserve"> HYPERLINK \l "_Toc256000009" </w:instrText>
      </w:r>
      <w:r>
        <w:fldChar w:fldCharType="separate"/>
      </w:r>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17</w:t>
      </w:r>
      <w:r>
        <w:fldChar w:fldCharType="end"/>
      </w:r>
      <w:r>
        <w:fldChar w:fldCharType="end"/>
      </w:r>
    </w:p>
    <w:p>
      <w:pPr>
        <w:pStyle w:val="TOC1"/>
        <w:rPr>
          <w:rFonts w:ascii="Calibri" w:hAnsi="Calibri"/>
          <w:noProof/>
          <w:sz w:val="22"/>
        </w:rPr>
      </w:pPr>
      <w:r>
        <w:fldChar w:fldCharType="begin"/>
      </w:r>
      <w:r>
        <w:instrText xml:space="preserve"> HYPERLINK \l "_Toc256000010" </w:instrText>
      </w:r>
      <w:r>
        <w:fldChar w:fldCharType="separate"/>
      </w:r>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18</w:t>
      </w:r>
      <w:r>
        <w:fldChar w:fldCharType="end"/>
      </w:r>
      <w:r>
        <w:fldChar w:fldCharType="end"/>
      </w:r>
    </w:p>
    <w:p>
      <w:pPr>
        <w:pStyle w:val="TOC2"/>
        <w:rPr>
          <w:rFonts w:ascii="Calibri" w:hAnsi="Calibri"/>
          <w:noProof/>
          <w:sz w:val="22"/>
        </w:rPr>
      </w:pPr>
      <w:r>
        <w:fldChar w:fldCharType="begin"/>
      </w:r>
      <w:r>
        <w:instrText xml:space="preserve"> HYPERLINK \l "_Toc256000011" </w:instrText>
      </w:r>
      <w:r>
        <w:fldChar w:fldCharType="separate"/>
      </w:r>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18</w:t>
      </w:r>
      <w:r>
        <w:fldChar w:fldCharType="end"/>
      </w:r>
      <w:r>
        <w:fldChar w:fldCharType="end"/>
      </w:r>
    </w:p>
    <w:p>
      <w:pPr>
        <w:pStyle w:val="TOC2"/>
        <w:rPr>
          <w:rFonts w:ascii="Calibri" w:hAnsi="Calibri"/>
          <w:noProof/>
          <w:sz w:val="22"/>
        </w:rPr>
      </w:pPr>
      <w:r>
        <w:fldChar w:fldCharType="begin"/>
      </w:r>
      <w:r>
        <w:instrText xml:space="preserve"> HYPERLINK \l "_Toc256000012" </w:instrText>
      </w:r>
      <w:r>
        <w:fldChar w:fldCharType="separate"/>
      </w:r>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20</w:t>
      </w:r>
      <w:r>
        <w:fldChar w:fldCharType="end"/>
      </w:r>
      <w:r>
        <w:fldChar w:fldCharType="end"/>
      </w:r>
    </w:p>
    <w:p>
      <w:pPr>
        <w:pStyle w:val="TOC3"/>
        <w:rPr>
          <w:rFonts w:ascii="Calibri" w:hAnsi="Calibri"/>
          <w:noProof/>
          <w:sz w:val="22"/>
        </w:rPr>
      </w:pPr>
      <w:r>
        <w:fldChar w:fldCharType="begin"/>
      </w:r>
      <w:r>
        <w:instrText xml:space="preserve"> HYPERLINK \l "_Toc256000013" </w:instrText>
      </w:r>
      <w:r>
        <w:fldChar w:fldCharType="separate"/>
      </w:r>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21</w:t>
      </w:r>
      <w:r>
        <w:fldChar w:fldCharType="end"/>
      </w:r>
      <w:r>
        <w:fldChar w:fldCharType="end"/>
      </w:r>
    </w:p>
    <w:p>
      <w:pPr>
        <w:pStyle w:val="TOC3"/>
        <w:rPr>
          <w:rFonts w:ascii="Calibri" w:hAnsi="Calibri"/>
          <w:noProof/>
          <w:sz w:val="22"/>
        </w:rPr>
      </w:pPr>
      <w:r>
        <w:fldChar w:fldCharType="begin"/>
      </w:r>
      <w:r>
        <w:instrText xml:space="preserve"> HYPERLINK \l "_Toc256000014" </w:instrText>
      </w:r>
      <w:r>
        <w:fldChar w:fldCharType="separate"/>
      </w:r>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21</w:t>
      </w:r>
      <w:r>
        <w:fldChar w:fldCharType="end"/>
      </w:r>
      <w:r>
        <w:fldChar w:fldCharType="end"/>
      </w:r>
    </w:p>
    <w:p>
      <w:pPr>
        <w:pStyle w:val="TOC3"/>
        <w:rPr>
          <w:rFonts w:ascii="Calibri" w:hAnsi="Calibri"/>
          <w:noProof/>
          <w:sz w:val="22"/>
        </w:rPr>
      </w:pPr>
      <w:r>
        <w:fldChar w:fldCharType="begin"/>
      </w:r>
      <w:r>
        <w:instrText xml:space="preserve"> HYPERLINK \l "_Toc256000015" </w:instrText>
      </w:r>
      <w:r>
        <w:fldChar w:fldCharType="separate"/>
      </w:r>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22</w:t>
      </w:r>
      <w:r>
        <w:fldChar w:fldCharType="end"/>
      </w:r>
      <w:r>
        <w:fldChar w:fldCharType="end"/>
      </w:r>
    </w:p>
    <w:p>
      <w:pPr>
        <w:pStyle w:val="TOC3"/>
        <w:rPr>
          <w:rFonts w:ascii="Calibri" w:hAnsi="Calibri"/>
          <w:noProof/>
          <w:sz w:val="22"/>
        </w:rPr>
      </w:pPr>
      <w:r>
        <w:fldChar w:fldCharType="begin"/>
      </w:r>
      <w:r>
        <w:instrText xml:space="preserve"> HYPERLINK \l "_Toc256000016" </w:instrText>
      </w:r>
      <w:r>
        <w:fldChar w:fldCharType="separate"/>
      </w:r>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22</w:t>
      </w:r>
      <w:r>
        <w:fldChar w:fldCharType="end"/>
      </w:r>
      <w:r>
        <w:fldChar w:fldCharType="end"/>
      </w:r>
    </w:p>
    <w:p>
      <w:pPr>
        <w:pStyle w:val="TOC3"/>
        <w:rPr>
          <w:rFonts w:ascii="Calibri" w:hAnsi="Calibri"/>
          <w:noProof/>
          <w:sz w:val="22"/>
        </w:rPr>
      </w:pPr>
      <w:r>
        <w:fldChar w:fldCharType="begin"/>
      </w:r>
      <w:r>
        <w:instrText xml:space="preserve"> HYPERLINK \l "_Toc256000017" </w:instrText>
      </w:r>
      <w:r>
        <w:fldChar w:fldCharType="separate"/>
      </w:r>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23</w:t>
      </w:r>
      <w:r>
        <w:fldChar w:fldCharType="end"/>
      </w:r>
      <w:r>
        <w:fldChar w:fldCharType="end"/>
      </w:r>
    </w:p>
    <w:p>
      <w:pPr>
        <w:pStyle w:val="TOC3"/>
        <w:rPr>
          <w:rFonts w:ascii="Calibri" w:hAnsi="Calibri"/>
          <w:noProof/>
          <w:sz w:val="22"/>
        </w:rPr>
      </w:pPr>
      <w:r>
        <w:fldChar w:fldCharType="begin"/>
      </w:r>
      <w:r>
        <w:instrText xml:space="preserve"> HYPERLINK \l "_Toc256000018" </w:instrText>
      </w:r>
      <w:r>
        <w:fldChar w:fldCharType="separate"/>
      </w:r>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23</w:t>
      </w:r>
      <w:r>
        <w:fldChar w:fldCharType="end"/>
      </w:r>
      <w:r>
        <w:fldChar w:fldCharType="end"/>
      </w:r>
    </w:p>
    <w:p>
      <w:pPr>
        <w:pStyle w:val="TOC3"/>
        <w:rPr>
          <w:rFonts w:ascii="Calibri" w:hAnsi="Calibri"/>
          <w:noProof/>
          <w:sz w:val="22"/>
        </w:rPr>
      </w:pPr>
      <w:r>
        <w:fldChar w:fldCharType="begin"/>
      </w:r>
      <w:r>
        <w:instrText xml:space="preserve"> HYPERLINK \l "_Toc256000019" </w:instrText>
      </w:r>
      <w:r>
        <w:fldChar w:fldCharType="separate"/>
      </w:r>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24</w:t>
      </w:r>
      <w:r>
        <w:fldChar w:fldCharType="end"/>
      </w:r>
      <w:r>
        <w:fldChar w:fldCharType="end"/>
      </w:r>
    </w:p>
    <w:p>
      <w:pPr>
        <w:pStyle w:val="TOC3"/>
        <w:rPr>
          <w:rFonts w:ascii="Calibri" w:hAnsi="Calibri"/>
          <w:noProof/>
          <w:sz w:val="22"/>
        </w:rPr>
      </w:pPr>
      <w:r>
        <w:fldChar w:fldCharType="begin"/>
      </w:r>
      <w:r>
        <w:instrText xml:space="preserve"> HYPERLINK \l "_Toc256000020" </w:instrText>
      </w:r>
      <w:r>
        <w:fldChar w:fldCharType="separate"/>
      </w:r>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24</w:t>
      </w:r>
      <w:r>
        <w:fldChar w:fldCharType="end"/>
      </w:r>
      <w:r>
        <w:fldChar w:fldCharType="end"/>
      </w:r>
    </w:p>
    <w:p>
      <w:pPr>
        <w:pStyle w:val="TOC3"/>
        <w:rPr>
          <w:rFonts w:ascii="Calibri" w:hAnsi="Calibri"/>
          <w:noProof/>
          <w:sz w:val="22"/>
        </w:rPr>
      </w:pPr>
      <w:r>
        <w:fldChar w:fldCharType="begin"/>
      </w:r>
      <w:r>
        <w:instrText xml:space="preserve"> HYPERLINK \l "_Toc256000021" </w:instrText>
      </w:r>
      <w:r>
        <w:fldChar w:fldCharType="separate"/>
      </w:r>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25</w:t>
      </w:r>
      <w:r>
        <w:fldChar w:fldCharType="end"/>
      </w:r>
      <w:r>
        <w:fldChar w:fldCharType="end"/>
      </w:r>
    </w:p>
    <w:p>
      <w:pPr>
        <w:pStyle w:val="TOC3"/>
        <w:rPr>
          <w:rFonts w:ascii="Calibri" w:hAnsi="Calibri"/>
          <w:noProof/>
          <w:sz w:val="22"/>
        </w:rPr>
      </w:pPr>
      <w:r>
        <w:fldChar w:fldCharType="begin"/>
      </w:r>
      <w:r>
        <w:instrText xml:space="preserve"> HYPERLINK \l "_Toc256000022" </w:instrText>
      </w:r>
      <w:r>
        <w:fldChar w:fldCharType="separate"/>
      </w:r>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25</w:t>
      </w:r>
      <w:r>
        <w:fldChar w:fldCharType="end"/>
      </w:r>
      <w:r>
        <w:fldChar w:fldCharType="end"/>
      </w:r>
    </w:p>
    <w:p>
      <w:pPr>
        <w:pStyle w:val="TOC3"/>
        <w:rPr>
          <w:rFonts w:ascii="Calibri" w:hAnsi="Calibri"/>
          <w:noProof/>
          <w:sz w:val="22"/>
        </w:rPr>
      </w:pPr>
      <w:r>
        <w:fldChar w:fldCharType="begin"/>
      </w:r>
      <w:r>
        <w:instrText xml:space="preserve"> HYPERLINK \l "_Toc256000023" </w:instrText>
      </w:r>
      <w:r>
        <w:fldChar w:fldCharType="separate"/>
      </w:r>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26</w:t>
      </w:r>
      <w:r>
        <w:fldChar w:fldCharType="end"/>
      </w:r>
      <w:r>
        <w:fldChar w:fldCharType="end"/>
      </w:r>
    </w:p>
    <w:p>
      <w:pPr>
        <w:pStyle w:val="TOC3"/>
        <w:rPr>
          <w:rFonts w:ascii="Calibri" w:hAnsi="Calibri"/>
          <w:noProof/>
          <w:sz w:val="22"/>
        </w:rPr>
      </w:pPr>
      <w:r>
        <w:fldChar w:fldCharType="begin"/>
      </w:r>
      <w:r>
        <w:instrText xml:space="preserve"> HYPERLINK \l "_Toc256000024" </w:instrText>
      </w:r>
      <w:r>
        <w:fldChar w:fldCharType="separate"/>
      </w:r>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27</w:t>
      </w:r>
      <w:r>
        <w:fldChar w:fldCharType="end"/>
      </w:r>
      <w:r>
        <w:fldChar w:fldCharType="end"/>
      </w:r>
    </w:p>
    <w:p>
      <w:pPr>
        <w:pStyle w:val="TOC3"/>
        <w:rPr>
          <w:rFonts w:ascii="Calibri" w:hAnsi="Calibri"/>
          <w:noProof/>
          <w:sz w:val="22"/>
        </w:rPr>
      </w:pPr>
      <w:r>
        <w:fldChar w:fldCharType="begin"/>
      </w:r>
      <w:r>
        <w:instrText xml:space="preserve"> HYPERLINK \l "_Toc256000025" </w:instrText>
      </w:r>
      <w:r>
        <w:fldChar w:fldCharType="separate"/>
      </w:r>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27</w:t>
      </w:r>
      <w:r>
        <w:fldChar w:fldCharType="end"/>
      </w:r>
      <w:r>
        <w:fldChar w:fldCharType="end"/>
      </w:r>
    </w:p>
    <w:p>
      <w:pPr>
        <w:pStyle w:val="TOC3"/>
        <w:rPr>
          <w:rFonts w:ascii="Calibri" w:hAnsi="Calibri"/>
          <w:noProof/>
          <w:sz w:val="22"/>
        </w:rPr>
      </w:pPr>
      <w:r>
        <w:fldChar w:fldCharType="begin"/>
      </w:r>
      <w:r>
        <w:instrText xml:space="preserve"> HYPERLINK \l "_Toc256000026" </w:instrText>
      </w:r>
      <w:r>
        <w:fldChar w:fldCharType="separate"/>
      </w:r>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27</w:t>
      </w:r>
      <w:r>
        <w:fldChar w:fldCharType="end"/>
      </w:r>
      <w:r>
        <w:fldChar w:fldCharType="end"/>
      </w:r>
    </w:p>
    <w:p>
      <w:pPr>
        <w:pStyle w:val="TOC3"/>
        <w:rPr>
          <w:rFonts w:ascii="Calibri" w:hAnsi="Calibri"/>
          <w:noProof/>
          <w:sz w:val="22"/>
        </w:rPr>
      </w:pPr>
      <w:r>
        <w:fldChar w:fldCharType="begin"/>
      </w:r>
      <w:r>
        <w:instrText xml:space="preserve"> HYPERLINK \l "_Toc256000027" </w:instrText>
      </w:r>
      <w:r>
        <w:fldChar w:fldCharType="separate"/>
      </w:r>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28</w:t>
      </w:r>
      <w:r>
        <w:fldChar w:fldCharType="end"/>
      </w:r>
      <w:r>
        <w:fldChar w:fldCharType="end"/>
      </w:r>
    </w:p>
    <w:p>
      <w:pPr>
        <w:pStyle w:val="TOC3"/>
        <w:rPr>
          <w:rFonts w:ascii="Calibri" w:hAnsi="Calibri"/>
          <w:noProof/>
          <w:sz w:val="22"/>
        </w:rPr>
      </w:pPr>
      <w:r>
        <w:fldChar w:fldCharType="begin"/>
      </w:r>
      <w:r>
        <w:instrText xml:space="preserve"> HYPERLINK \l "_Toc256000028" </w:instrText>
      </w:r>
      <w:r>
        <w:fldChar w:fldCharType="separate"/>
      </w:r>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28</w:t>
      </w:r>
      <w:r>
        <w:fldChar w:fldCharType="end"/>
      </w:r>
      <w:r>
        <w:fldChar w:fldCharType="end"/>
      </w:r>
    </w:p>
    <w:p>
      <w:pPr>
        <w:pStyle w:val="TOC3"/>
        <w:rPr>
          <w:rFonts w:ascii="Calibri" w:hAnsi="Calibri"/>
          <w:noProof/>
          <w:sz w:val="22"/>
        </w:rPr>
      </w:pPr>
      <w:r>
        <w:fldChar w:fldCharType="begin"/>
      </w:r>
      <w:r>
        <w:instrText xml:space="preserve"> HYPERLINK \l "_Toc256000029" </w:instrText>
      </w:r>
      <w:r>
        <w:fldChar w:fldCharType="separate"/>
      </w:r>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29</w:t>
      </w:r>
      <w:r>
        <w:fldChar w:fldCharType="end"/>
      </w:r>
      <w:r>
        <w:fldChar w:fldCharType="end"/>
      </w:r>
    </w:p>
    <w:p>
      <w:pPr>
        <w:pStyle w:val="TOC3"/>
        <w:rPr>
          <w:rFonts w:ascii="Calibri" w:hAnsi="Calibri"/>
          <w:noProof/>
          <w:sz w:val="22"/>
        </w:rPr>
      </w:pPr>
      <w:r>
        <w:fldChar w:fldCharType="begin"/>
      </w:r>
      <w:r>
        <w:instrText xml:space="preserve"> HYPERLINK \l "_Toc256000030" </w:instrText>
      </w:r>
      <w:r>
        <w:fldChar w:fldCharType="separate"/>
      </w:r>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29</w:t>
      </w:r>
      <w:r>
        <w:fldChar w:fldCharType="end"/>
      </w:r>
      <w:r>
        <w:fldChar w:fldCharType="end"/>
      </w:r>
    </w:p>
    <w:p>
      <w:pPr>
        <w:pStyle w:val="TOC3"/>
        <w:rPr>
          <w:rFonts w:ascii="Calibri" w:hAnsi="Calibri"/>
          <w:noProof/>
          <w:sz w:val="22"/>
        </w:rPr>
      </w:pPr>
      <w:r>
        <w:fldChar w:fldCharType="begin"/>
      </w:r>
      <w:r>
        <w:instrText xml:space="preserve"> HYPERLINK \l "_Toc256000031" </w:instrText>
      </w:r>
      <w:r>
        <w:fldChar w:fldCharType="separate"/>
      </w:r>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"_Toc256000032" </w:instrText>
      </w:r>
      <w:r>
        <w:fldChar w:fldCharType="separate"/>
      </w:r>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"_Toc256000033" </w:instrText>
      </w:r>
      <w:r>
        <w:fldChar w:fldCharType="separate"/>
      </w:r>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31</w:t>
      </w:r>
      <w:r>
        <w:fldChar w:fldCharType="end"/>
      </w:r>
      <w:r>
        <w:fldChar w:fldCharType="end"/>
      </w:r>
    </w:p>
    <w:p>
      <w:pPr>
        <w:pStyle w:val="TOC3"/>
        <w:rPr>
          <w:rFonts w:ascii="Calibri" w:hAnsi="Calibri"/>
          <w:noProof/>
          <w:sz w:val="22"/>
        </w:rPr>
      </w:pPr>
      <w:r>
        <w:fldChar w:fldCharType="begin"/>
      </w:r>
      <w:r>
        <w:instrText xml:space="preserve"> HYPERLINK \l "_Toc256000034" </w:instrText>
      </w:r>
      <w:r>
        <w:fldChar w:fldCharType="separate"/>
      </w:r>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31</w:t>
      </w:r>
      <w:r>
        <w:fldChar w:fldCharType="end"/>
      </w:r>
      <w:r>
        <w:fldChar w:fldCharType="end"/>
      </w:r>
    </w:p>
    <w:p>
      <w:pPr>
        <w:pStyle w:val="TOC3"/>
        <w:rPr>
          <w:rFonts w:ascii="Calibri" w:hAnsi="Calibri"/>
          <w:noProof/>
          <w:sz w:val="22"/>
        </w:rPr>
      </w:pPr>
      <w:r>
        <w:fldChar w:fldCharType="begin"/>
      </w:r>
      <w:r>
        <w:instrText xml:space="preserve"> HYPERLINK \l "_Toc256000035" </w:instrText>
      </w:r>
      <w:r>
        <w:fldChar w:fldCharType="separate"/>
      </w:r>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32</w:t>
      </w:r>
      <w:r>
        <w:fldChar w:fldCharType="end"/>
      </w:r>
      <w:r>
        <w:fldChar w:fldCharType="end"/>
      </w:r>
    </w:p>
    <w:p>
      <w:pPr>
        <w:pStyle w:val="TOC3"/>
        <w:rPr>
          <w:rFonts w:ascii="Calibri" w:hAnsi="Calibri"/>
          <w:noProof/>
          <w:sz w:val="22"/>
        </w:rPr>
      </w:pPr>
      <w:r>
        <w:fldChar w:fldCharType="begin"/>
      </w:r>
      <w:r>
        <w:instrText xml:space="preserve"> HYPERLINK \l "_Toc256000036" </w:instrText>
      </w:r>
      <w:r>
        <w:fldChar w:fldCharType="separate"/>
      </w:r>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32</w:t>
      </w:r>
      <w:r>
        <w:fldChar w:fldCharType="end"/>
      </w:r>
      <w:r>
        <w:fldChar w:fldCharType="end"/>
      </w:r>
    </w:p>
    <w:p>
      <w:pPr>
        <w:pStyle w:val="TOC2"/>
        <w:rPr>
          <w:rFonts w:ascii="Calibri" w:hAnsi="Calibri"/>
          <w:noProof/>
          <w:sz w:val="22"/>
        </w:rPr>
      </w:pPr>
      <w:r>
        <w:fldChar w:fldCharType="begin"/>
      </w:r>
      <w:r>
        <w:instrText xml:space="preserve"> HYPERLINK \l "_Toc256000037" </w:instrText>
      </w:r>
      <w:r>
        <w:fldChar w:fldCharType="separate"/>
      </w:r>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33</w:t>
      </w:r>
      <w:r>
        <w:fldChar w:fldCharType="end"/>
      </w:r>
      <w:r>
        <w:fldChar w:fldCharType="end"/>
      </w:r>
    </w:p>
    <w:p>
      <w:pPr>
        <w:pStyle w:val="TOC1"/>
        <w:rPr>
          <w:rFonts w:ascii="Calibri" w:hAnsi="Calibri"/>
          <w:noProof/>
          <w:sz w:val="22"/>
        </w:rPr>
      </w:pPr>
      <w:r>
        <w:fldChar w:fldCharType="begin"/>
      </w:r>
      <w:r>
        <w:instrText xml:space="preserve"> HYPERLINK \l "_Toc256000038" </w:instrText>
      </w:r>
      <w:r>
        <w:fldChar w:fldCharType="separate"/>
      </w:r>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34</w:t>
      </w:r>
      <w:r>
        <w:fldChar w:fldCharType="end"/>
      </w:r>
      <w:r>
        <w:fldChar w:fldCharType="end"/>
      </w:r>
    </w:p>
    <w:p>
      <w:pPr>
        <w:pStyle w:val="TOC2"/>
        <w:rPr>
          <w:rFonts w:ascii="Calibri" w:hAnsi="Calibri"/>
          <w:noProof/>
          <w:sz w:val="22"/>
        </w:rPr>
      </w:pPr>
      <w:r>
        <w:fldChar w:fldCharType="begin"/>
      </w:r>
      <w:r>
        <w:instrText xml:space="preserve"> HYPERLINK \l "_Toc256000039" </w:instrText>
      </w:r>
      <w:r>
        <w:fldChar w:fldCharType="separate"/>
      </w:r>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34</w:t>
      </w:r>
      <w:r>
        <w:fldChar w:fldCharType="end"/>
      </w:r>
      <w:r>
        <w:fldChar w:fldCharType="end"/>
      </w:r>
    </w:p>
    <w:p>
      <w:pPr>
        <w:pStyle w:val="TOC3"/>
        <w:rPr>
          <w:rFonts w:ascii="Calibri" w:hAnsi="Calibri"/>
          <w:noProof/>
          <w:sz w:val="22"/>
        </w:rPr>
      </w:pPr>
      <w:r>
        <w:fldChar w:fldCharType="begin"/>
      </w:r>
      <w:r>
        <w:instrText xml:space="preserve"> HYPERLINK \l "_Toc256000040" </w:instrText>
      </w:r>
      <w:r>
        <w:fldChar w:fldCharType="separate"/>
      </w:r>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34</w:t>
      </w:r>
      <w:r>
        <w:fldChar w:fldCharType="end"/>
      </w:r>
      <w:r>
        <w:fldChar w:fldCharType="end"/>
      </w:r>
    </w:p>
    <w:p>
      <w:pPr>
        <w:pStyle w:val="TOC3"/>
        <w:rPr>
          <w:rFonts w:ascii="Calibri" w:hAnsi="Calibri"/>
          <w:noProof/>
          <w:sz w:val="22"/>
        </w:rPr>
      </w:pPr>
      <w:r>
        <w:fldChar w:fldCharType="begin"/>
      </w:r>
      <w:r>
        <w:instrText xml:space="preserve"> HYPERLINK \l "_Toc256000041" </w:instrText>
      </w:r>
      <w:r>
        <w:fldChar w:fldCharType="separate"/>
      </w:r>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46</w:t>
      </w:r>
      <w:r>
        <w:fldChar w:fldCharType="end"/>
      </w:r>
      <w:r>
        <w:fldChar w:fldCharType="end"/>
      </w:r>
    </w:p>
    <w:p>
      <w:pPr>
        <w:pStyle w:val="TOC3"/>
        <w:rPr>
          <w:rFonts w:ascii="Calibri" w:hAnsi="Calibri"/>
          <w:noProof/>
          <w:sz w:val="22"/>
        </w:rPr>
      </w:pPr>
      <w:r>
        <w:fldChar w:fldCharType="begin"/>
      </w:r>
      <w:r>
        <w:instrText xml:space="preserve"> HYPERLINK \l "_Toc256000042" </w:instrText>
      </w:r>
      <w:r>
        <w:fldChar w:fldCharType="separate"/>
      </w:r>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48</w:t>
      </w:r>
      <w:r>
        <w:fldChar w:fldCharType="end"/>
      </w:r>
      <w:r>
        <w:fldChar w:fldCharType="end"/>
      </w:r>
    </w:p>
    <w:p>
      <w:pPr>
        <w:pStyle w:val="TOC3"/>
        <w:rPr>
          <w:rFonts w:ascii="Calibri" w:hAnsi="Calibri"/>
          <w:noProof/>
          <w:sz w:val="22"/>
        </w:rPr>
      </w:pPr>
      <w:r>
        <w:fldChar w:fldCharType="begin"/>
      </w:r>
      <w:r>
        <w:instrText xml:space="preserve"> HYPERLINK \l "_Toc256000043" </w:instrText>
      </w:r>
      <w:r>
        <w:fldChar w:fldCharType="separate"/>
      </w:r>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50</w:t>
      </w:r>
      <w:r>
        <w:fldChar w:fldCharType="end"/>
      </w:r>
      <w:r>
        <w:fldChar w:fldCharType="end"/>
      </w:r>
    </w:p>
    <w:p>
      <w:pPr>
        <w:pStyle w:val="TOC3"/>
        <w:rPr>
          <w:rFonts w:ascii="Calibri" w:hAnsi="Calibri"/>
          <w:noProof/>
          <w:sz w:val="22"/>
        </w:rPr>
      </w:pPr>
      <w:r>
        <w:fldChar w:fldCharType="begin"/>
      </w:r>
      <w:r>
        <w:instrText xml:space="preserve"> HYPERLINK \l "_Toc256000044" </w:instrText>
      </w:r>
      <w:r>
        <w:fldChar w:fldCharType="separate"/>
      </w:r>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51</w:t>
      </w:r>
      <w:r>
        <w:fldChar w:fldCharType="end"/>
      </w:r>
      <w:r>
        <w:fldChar w:fldCharType="end"/>
      </w:r>
    </w:p>
    <w:p>
      <w:pPr>
        <w:pStyle w:val="TOC3"/>
        <w:rPr>
          <w:rFonts w:ascii="Calibri" w:hAnsi="Calibri"/>
          <w:noProof/>
          <w:sz w:val="22"/>
        </w:rPr>
      </w:pPr>
      <w:r>
        <w:fldChar w:fldCharType="begin"/>
      </w:r>
      <w:r>
        <w:instrText xml:space="preserve"> HYPERLINK \l "_Toc256000045" </w:instrText>
      </w:r>
      <w:r>
        <w:fldChar w:fldCharType="separate"/>
      </w:r>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53</w:t>
      </w:r>
      <w:r>
        <w:fldChar w:fldCharType="end"/>
      </w:r>
      <w:r>
        <w:fldChar w:fldCharType="end"/>
      </w:r>
    </w:p>
    <w:p>
      <w:pPr>
        <w:pStyle w:val="TOC3"/>
        <w:rPr>
          <w:rFonts w:ascii="Calibri" w:hAnsi="Calibri"/>
          <w:noProof/>
          <w:sz w:val="22"/>
        </w:rPr>
      </w:pPr>
      <w:r>
        <w:fldChar w:fldCharType="begin"/>
      </w:r>
      <w:r>
        <w:instrText xml:space="preserve"> HYPERLINK \l "_Toc256000046" </w:instrText>
      </w:r>
      <w:r>
        <w:fldChar w:fldCharType="separate"/>
      </w:r>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61</w:t>
      </w:r>
      <w:r>
        <w:fldChar w:fldCharType="end"/>
      </w:r>
      <w:r>
        <w:fldChar w:fldCharType="end"/>
      </w:r>
    </w:p>
    <w:p>
      <w:pPr>
        <w:pStyle w:val="TOC2"/>
        <w:rPr>
          <w:rFonts w:ascii="Calibri" w:hAnsi="Calibri"/>
          <w:noProof/>
          <w:sz w:val="22"/>
        </w:rPr>
      </w:pPr>
      <w:r>
        <w:fldChar w:fldCharType="begin"/>
      </w:r>
      <w:r>
        <w:instrText xml:space="preserve"> HYPERLINK \l "_Toc256000047" </w:instrText>
      </w:r>
      <w:r>
        <w:fldChar w:fldCharType="separate"/>
      </w:r>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62</w:t>
      </w:r>
      <w:r>
        <w:fldChar w:fldCharType="end"/>
      </w:r>
      <w:r>
        <w:fldChar w:fldCharType="end"/>
      </w:r>
    </w:p>
    <w:p>
      <w:pPr>
        <w:pStyle w:val="TOC3"/>
        <w:rPr>
          <w:rFonts w:ascii="Calibri" w:hAnsi="Calibri"/>
          <w:noProof/>
          <w:sz w:val="22"/>
        </w:rPr>
      </w:pPr>
      <w:r>
        <w:fldChar w:fldCharType="begin"/>
      </w:r>
      <w:r>
        <w:instrText xml:space="preserve"> HYPERLINK \l "_Toc256000048" </w:instrText>
      </w:r>
      <w:r>
        <w:fldChar w:fldCharType="separate"/>
      </w:r>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66</w:t>
      </w:r>
      <w:r>
        <w:fldChar w:fldCharType="end"/>
      </w:r>
      <w:r>
        <w:fldChar w:fldCharType="end"/>
      </w:r>
    </w:p>
    <w:p>
      <w:pPr>
        <w:pStyle w:val="TOC3"/>
        <w:rPr>
          <w:rFonts w:ascii="Calibri" w:hAnsi="Calibri"/>
          <w:noProof/>
          <w:sz w:val="22"/>
        </w:rPr>
      </w:pPr>
      <w:r>
        <w:fldChar w:fldCharType="begin"/>
      </w:r>
      <w:r>
        <w:instrText xml:space="preserve"> HYPERLINK \l "_Toc256000049" </w:instrText>
      </w:r>
      <w:r>
        <w:fldChar w:fldCharType="separate"/>
      </w:r>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67</w:t>
      </w:r>
      <w:r>
        <w:fldChar w:fldCharType="end"/>
      </w:r>
      <w:r>
        <w:fldChar w:fldCharType="end"/>
      </w:r>
    </w:p>
    <w:p>
      <w:pPr>
        <w:pStyle w:val="TOC3"/>
        <w:rPr>
          <w:rFonts w:ascii="Calibri" w:hAnsi="Calibri"/>
          <w:noProof/>
          <w:sz w:val="22"/>
        </w:rPr>
      </w:pPr>
      <w:r>
        <w:fldChar w:fldCharType="begin"/>
      </w:r>
      <w:r>
        <w:instrText xml:space="preserve"> HYPERLINK \l "_Toc256000050" </w:instrText>
      </w:r>
      <w:r>
        <w:fldChar w:fldCharType="separate"/>
      </w:r>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68</w:t>
      </w:r>
      <w:r>
        <w:fldChar w:fldCharType="end"/>
      </w:r>
      <w:r>
        <w:fldChar w:fldCharType="end"/>
      </w:r>
    </w:p>
    <w:p>
      <w:pPr>
        <w:pStyle w:val="TOC3"/>
        <w:rPr>
          <w:rFonts w:ascii="Calibri" w:hAnsi="Calibri"/>
          <w:noProof/>
          <w:sz w:val="22"/>
        </w:rPr>
      </w:pPr>
      <w:r>
        <w:fldChar w:fldCharType="begin"/>
      </w:r>
      <w:r>
        <w:instrText xml:space="preserve"> HYPERLINK \l "_Toc256000051" </w:instrText>
      </w:r>
      <w:r>
        <w:fldChar w:fldCharType="separate"/>
      </w:r>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70</w:t>
      </w:r>
      <w:r>
        <w:fldChar w:fldCharType="end"/>
      </w:r>
      <w:r>
        <w:fldChar w:fldCharType="end"/>
      </w:r>
    </w:p>
    <w:p>
      <w:pPr>
        <w:pStyle w:val="TOC3"/>
        <w:rPr>
          <w:rFonts w:ascii="Calibri" w:hAnsi="Calibri"/>
          <w:noProof/>
          <w:sz w:val="22"/>
        </w:rPr>
      </w:pPr>
      <w:r>
        <w:fldChar w:fldCharType="begin"/>
      </w:r>
      <w:r>
        <w:instrText xml:space="preserve"> HYPERLINK \l "_Toc256000052" </w:instrText>
      </w:r>
      <w:r>
        <w:fldChar w:fldCharType="separate"/>
      </w:r>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70</w:t>
      </w:r>
      <w:r>
        <w:fldChar w:fldCharType="end"/>
      </w:r>
      <w:r>
        <w:fldChar w:fldCharType="end"/>
      </w:r>
    </w:p>
    <w:p>
      <w:pPr>
        <w:pStyle w:val="TOC3"/>
        <w:rPr>
          <w:rFonts w:ascii="Calibri" w:hAnsi="Calibri"/>
          <w:noProof/>
          <w:sz w:val="22"/>
        </w:rPr>
      </w:pPr>
      <w:r>
        <w:fldChar w:fldCharType="begin"/>
      </w:r>
      <w:r>
        <w:instrText xml:space="preserve"> HYPERLINK \l "_Toc256000053" </w:instrText>
      </w:r>
      <w:r>
        <w:fldChar w:fldCharType="separate"/>
      </w:r>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72</w:t>
      </w:r>
      <w:r>
        <w:fldChar w:fldCharType="end"/>
      </w:r>
      <w:r>
        <w:fldChar w:fldCharType="end"/>
      </w:r>
    </w:p>
    <w:p>
      <w:pPr>
        <w:pStyle w:val="TOC3"/>
        <w:rPr>
          <w:rFonts w:ascii="Calibri" w:hAnsi="Calibri"/>
          <w:noProof/>
          <w:sz w:val="22"/>
        </w:rPr>
      </w:pPr>
      <w:r>
        <w:fldChar w:fldCharType="begin"/>
      </w:r>
      <w:r>
        <w:instrText xml:space="preserve"> HYPERLINK \l "_Toc256000054" </w:instrText>
      </w:r>
      <w:r>
        <w:fldChar w:fldCharType="separate"/>
      </w:r>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73</w:t>
      </w:r>
      <w:r>
        <w:fldChar w:fldCharType="end"/>
      </w:r>
      <w:r>
        <w:fldChar w:fldCharType="end"/>
      </w:r>
    </w:p>
    <w:p>
      <w:pPr>
        <w:pStyle w:val="TOC3"/>
        <w:rPr>
          <w:rFonts w:ascii="Calibri" w:hAnsi="Calibri"/>
          <w:noProof/>
          <w:sz w:val="22"/>
        </w:rPr>
      </w:pPr>
      <w:r>
        <w:fldChar w:fldCharType="begin"/>
      </w:r>
      <w:r>
        <w:instrText xml:space="preserve"> HYPERLINK \l "_Toc256000055" </w:instrText>
      </w:r>
      <w:r>
        <w:fldChar w:fldCharType="separate"/>
      </w:r>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74</w:t>
      </w:r>
      <w:r>
        <w:fldChar w:fldCharType="end"/>
      </w:r>
      <w:r>
        <w:fldChar w:fldCharType="end"/>
      </w:r>
    </w:p>
    <w:p>
      <w:pPr>
        <w:pStyle w:val="TOC3"/>
        <w:rPr>
          <w:rFonts w:ascii="Calibri" w:hAnsi="Calibri"/>
          <w:noProof/>
          <w:sz w:val="22"/>
        </w:rPr>
      </w:pPr>
      <w:r>
        <w:fldChar w:fldCharType="begin"/>
      </w:r>
      <w:r>
        <w:instrText xml:space="preserve"> HYPERLINK \l "_Toc256000056" </w:instrText>
      </w:r>
      <w:r>
        <w:fldChar w:fldCharType="separate"/>
      </w:r>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75</w:t>
      </w:r>
      <w:r>
        <w:fldChar w:fldCharType="end"/>
      </w:r>
      <w:r>
        <w:fldChar w:fldCharType="end"/>
      </w:r>
    </w:p>
    <w:p>
      <w:pPr>
        <w:pStyle w:val="TOC3"/>
        <w:rPr>
          <w:rFonts w:ascii="Calibri" w:hAnsi="Calibri"/>
          <w:noProof/>
          <w:sz w:val="22"/>
        </w:rPr>
      </w:pPr>
      <w:r>
        <w:fldChar w:fldCharType="begin"/>
      </w:r>
      <w:r>
        <w:instrText xml:space="preserve"> HYPERLINK \l "_Toc256000057" </w:instrText>
      </w:r>
      <w:r>
        <w:fldChar w:fldCharType="separate"/>
      </w:r>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76</w:t>
      </w:r>
      <w:r>
        <w:fldChar w:fldCharType="end"/>
      </w:r>
      <w:r>
        <w:fldChar w:fldCharType="end"/>
      </w:r>
    </w:p>
    <w:p>
      <w:pPr>
        <w:pStyle w:val="TOC3"/>
        <w:rPr>
          <w:rFonts w:ascii="Calibri" w:hAnsi="Calibri"/>
          <w:noProof/>
          <w:sz w:val="22"/>
        </w:rPr>
      </w:pPr>
      <w:r>
        <w:fldChar w:fldCharType="begin"/>
      </w:r>
      <w:r>
        <w:instrText xml:space="preserve"> HYPERLINK \l "_Toc256000058" </w:instrText>
      </w:r>
      <w:r>
        <w:fldChar w:fldCharType="separate"/>
      </w:r>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76</w:t>
      </w:r>
      <w:r>
        <w:fldChar w:fldCharType="end"/>
      </w:r>
      <w:r>
        <w:fldChar w:fldCharType="end"/>
      </w:r>
    </w:p>
    <w:p>
      <w:pPr>
        <w:pStyle w:val="TOC3"/>
        <w:rPr>
          <w:rFonts w:ascii="Calibri" w:hAnsi="Calibri"/>
          <w:noProof/>
          <w:sz w:val="22"/>
        </w:rPr>
      </w:pPr>
      <w:r>
        <w:fldChar w:fldCharType="begin"/>
      </w:r>
      <w:r>
        <w:instrText xml:space="preserve"> HYPERLINK \l "_Toc256000059" </w:instrText>
      </w:r>
      <w:r>
        <w:fldChar w:fldCharType="separate"/>
      </w:r>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77</w:t>
      </w:r>
      <w:r>
        <w:fldChar w:fldCharType="end"/>
      </w:r>
      <w:r>
        <w:fldChar w:fldCharType="end"/>
      </w:r>
    </w:p>
    <w:p>
      <w:pPr>
        <w:pStyle w:val="TOC3"/>
        <w:rPr>
          <w:rFonts w:ascii="Calibri" w:hAnsi="Calibri"/>
          <w:noProof/>
          <w:sz w:val="22"/>
        </w:rPr>
      </w:pPr>
      <w:r>
        <w:fldChar w:fldCharType="begin"/>
      </w:r>
      <w:r>
        <w:instrText xml:space="preserve"> HYPERLINK \l "_Toc256000060" </w:instrText>
      </w:r>
      <w:r>
        <w:fldChar w:fldCharType="separate"/>
      </w:r>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78</w:t>
      </w:r>
      <w:r>
        <w:fldChar w:fldCharType="end"/>
      </w:r>
      <w:r>
        <w:fldChar w:fldCharType="end"/>
      </w:r>
    </w:p>
    <w:p>
      <w:pPr>
        <w:pStyle w:val="TOC3"/>
        <w:rPr>
          <w:rFonts w:ascii="Calibri" w:hAnsi="Calibri"/>
          <w:noProof/>
          <w:sz w:val="22"/>
        </w:rPr>
      </w:pPr>
      <w:r>
        <w:fldChar w:fldCharType="begin"/>
      </w:r>
      <w:r>
        <w:instrText xml:space="preserve"> HYPERLINK \l "_Toc256000061" </w:instrText>
      </w:r>
      <w:r>
        <w:fldChar w:fldCharType="separate"/>
      </w:r>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79</w:t>
      </w:r>
      <w:r>
        <w:fldChar w:fldCharType="end"/>
      </w:r>
      <w:r>
        <w:fldChar w:fldCharType="end"/>
      </w:r>
    </w:p>
    <w:p>
      <w:pPr>
        <w:pStyle w:val="TOC3"/>
        <w:rPr>
          <w:rFonts w:ascii="Calibri" w:hAnsi="Calibri"/>
          <w:noProof/>
          <w:sz w:val="22"/>
        </w:rPr>
      </w:pPr>
      <w:r>
        <w:fldChar w:fldCharType="begin"/>
      </w:r>
      <w:r>
        <w:instrText xml:space="preserve"> HYPERLINK \l "_Toc256000062" </w:instrText>
      </w:r>
      <w:r>
        <w:fldChar w:fldCharType="separate"/>
      </w:r>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80</w:t>
      </w:r>
      <w:r>
        <w:fldChar w:fldCharType="end"/>
      </w:r>
      <w:r>
        <w:fldChar w:fldCharType="end"/>
      </w:r>
    </w:p>
    <w:p>
      <w:pPr>
        <w:pStyle w:val="TOC3"/>
        <w:rPr>
          <w:rFonts w:ascii="Calibri" w:hAnsi="Calibri"/>
          <w:noProof/>
          <w:sz w:val="22"/>
        </w:rPr>
      </w:pPr>
      <w:r>
        <w:fldChar w:fldCharType="begin"/>
      </w:r>
      <w:r>
        <w:instrText xml:space="preserve"> HYPERLINK \l "_Toc256000063" </w:instrText>
      </w:r>
      <w:r>
        <w:fldChar w:fldCharType="separate"/>
      </w:r>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80</w:t>
      </w:r>
      <w:r>
        <w:fldChar w:fldCharType="end"/>
      </w:r>
      <w:r>
        <w:fldChar w:fldCharType="end"/>
      </w:r>
    </w:p>
    <w:p>
      <w:pPr>
        <w:pStyle w:val="TOC3"/>
        <w:rPr>
          <w:rFonts w:ascii="Calibri" w:hAnsi="Calibri"/>
          <w:noProof/>
          <w:sz w:val="22"/>
        </w:rPr>
      </w:pPr>
      <w:r>
        <w:fldChar w:fldCharType="begin"/>
      </w:r>
      <w:r>
        <w:instrText xml:space="preserve"> HYPERLINK \l "_Toc256000064" </w:instrText>
      </w:r>
      <w:r>
        <w:fldChar w:fldCharType="separate"/>
      </w:r>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81</w:t>
      </w:r>
      <w:r>
        <w:fldChar w:fldCharType="end"/>
      </w:r>
      <w:r>
        <w:fldChar w:fldCharType="end"/>
      </w:r>
    </w:p>
    <w:p>
      <w:pPr>
        <w:pStyle w:val="TOC3"/>
        <w:rPr>
          <w:rFonts w:ascii="Calibri" w:hAnsi="Calibri"/>
          <w:noProof/>
          <w:sz w:val="22"/>
        </w:rPr>
      </w:pPr>
      <w:r>
        <w:fldChar w:fldCharType="begin"/>
      </w:r>
      <w:r>
        <w:instrText xml:space="preserve"> HYPERLINK \l "_Toc256000065" </w:instrText>
      </w:r>
      <w:r>
        <w:fldChar w:fldCharType="separate"/>
      </w:r>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82</w:t>
      </w:r>
      <w:r>
        <w:fldChar w:fldCharType="end"/>
      </w:r>
      <w:r>
        <w:fldChar w:fldCharType="end"/>
      </w:r>
    </w:p>
    <w:p>
      <w:pPr>
        <w:pStyle w:val="TOC3"/>
        <w:rPr>
          <w:rFonts w:ascii="Calibri" w:hAnsi="Calibri"/>
          <w:noProof/>
          <w:sz w:val="22"/>
        </w:rPr>
      </w:pPr>
      <w:r>
        <w:fldChar w:fldCharType="begin"/>
      </w:r>
      <w:r>
        <w:instrText xml:space="preserve"> HYPERLINK \l "_Toc256000066" </w:instrText>
      </w:r>
      <w:r>
        <w:fldChar w:fldCharType="separate"/>
      </w:r>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83</w:t>
      </w:r>
      <w:r>
        <w:fldChar w:fldCharType="end"/>
      </w:r>
      <w:r>
        <w:fldChar w:fldCharType="end"/>
      </w:r>
    </w:p>
    <w:p>
      <w:pPr>
        <w:pStyle w:val="TOC3"/>
        <w:rPr>
          <w:rFonts w:ascii="Calibri" w:hAnsi="Calibri"/>
          <w:noProof/>
          <w:sz w:val="22"/>
        </w:rPr>
      </w:pPr>
      <w:r>
        <w:fldChar w:fldCharType="begin"/>
      </w:r>
      <w:r>
        <w:instrText xml:space="preserve"> HYPERLINK \l "_Toc256000067" </w:instrText>
      </w:r>
      <w:r>
        <w:fldChar w:fldCharType="separate"/>
      </w:r>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84</w:t>
      </w:r>
      <w:r>
        <w:fldChar w:fldCharType="end"/>
      </w:r>
      <w:r>
        <w:fldChar w:fldCharType="end"/>
      </w:r>
    </w:p>
    <w:p>
      <w:pPr>
        <w:pStyle w:val="TOC3"/>
        <w:rPr>
          <w:rFonts w:ascii="Calibri" w:hAnsi="Calibri"/>
          <w:noProof/>
          <w:sz w:val="22"/>
        </w:rPr>
      </w:pPr>
      <w:r>
        <w:fldChar w:fldCharType="begin"/>
      </w:r>
      <w:r>
        <w:instrText xml:space="preserve"> HYPERLINK \l "_Toc256000068" </w:instrText>
      </w:r>
      <w:r>
        <w:fldChar w:fldCharType="separate"/>
      </w:r>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84</w:t>
      </w:r>
      <w:r>
        <w:fldChar w:fldCharType="end"/>
      </w:r>
      <w:r>
        <w:fldChar w:fldCharType="end"/>
      </w:r>
    </w:p>
    <w:p>
      <w:pPr>
        <w:pStyle w:val="TOC3"/>
        <w:rPr>
          <w:rFonts w:ascii="Calibri" w:hAnsi="Calibri"/>
          <w:noProof/>
          <w:sz w:val="22"/>
        </w:rPr>
      </w:pPr>
      <w:r>
        <w:fldChar w:fldCharType="begin"/>
      </w:r>
      <w:r>
        <w:instrText xml:space="preserve"> HYPERLINK \l "_Toc256000069" </w:instrText>
      </w:r>
      <w:r>
        <w:fldChar w:fldCharType="separate"/>
      </w:r>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85</w:t>
      </w:r>
      <w:r>
        <w:fldChar w:fldCharType="end"/>
      </w:r>
      <w:r>
        <w:fldChar w:fldCharType="end"/>
      </w:r>
    </w:p>
    <w:p>
      <w:pPr>
        <w:pStyle w:val="TOC3"/>
        <w:rPr>
          <w:rFonts w:ascii="Calibri" w:hAnsi="Calibri"/>
          <w:noProof/>
          <w:sz w:val="22"/>
        </w:rPr>
      </w:pPr>
      <w:r>
        <w:fldChar w:fldCharType="begin"/>
      </w:r>
      <w:r>
        <w:instrText xml:space="preserve"> HYPERLINK \l "_Toc256000070" </w:instrText>
      </w:r>
      <w:r>
        <w:fldChar w:fldCharType="separate"/>
      </w:r>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86</w:t>
      </w:r>
      <w:r>
        <w:fldChar w:fldCharType="end"/>
      </w:r>
      <w:r>
        <w:fldChar w:fldCharType="end"/>
      </w:r>
    </w:p>
    <w:p>
      <w:pPr>
        <w:pStyle w:val="TOC3"/>
        <w:rPr>
          <w:rFonts w:ascii="Calibri" w:hAnsi="Calibri"/>
          <w:noProof/>
          <w:sz w:val="22"/>
        </w:rPr>
      </w:pPr>
      <w:r>
        <w:fldChar w:fldCharType="begin"/>
      </w:r>
      <w:r>
        <w:instrText xml:space="preserve"> HYPERLINK \l "_Toc256000071" </w:instrText>
      </w:r>
      <w:r>
        <w:fldChar w:fldCharType="separate"/>
      </w:r>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86</w:t>
      </w:r>
      <w:r>
        <w:fldChar w:fldCharType="end"/>
      </w:r>
      <w:r>
        <w:fldChar w:fldCharType="end"/>
      </w:r>
    </w:p>
    <w:p>
      <w:pPr>
        <w:pStyle w:val="TOC3"/>
        <w:rPr>
          <w:rFonts w:ascii="Calibri" w:hAnsi="Calibri"/>
          <w:noProof/>
          <w:sz w:val="22"/>
        </w:rPr>
      </w:pPr>
      <w:r>
        <w:fldChar w:fldCharType="begin"/>
      </w:r>
      <w:r>
        <w:instrText xml:space="preserve"> HYPERLINK \l "_Toc256000072" </w:instrText>
      </w:r>
      <w:r>
        <w:fldChar w:fldCharType="separate"/>
      </w:r>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87</w:t>
      </w:r>
      <w:r>
        <w:fldChar w:fldCharType="end"/>
      </w:r>
      <w:r>
        <w:fldChar w:fldCharType="end"/>
      </w:r>
    </w:p>
    <w:p>
      <w:pPr>
        <w:pStyle w:val="TOC3"/>
        <w:rPr>
          <w:rFonts w:ascii="Calibri" w:hAnsi="Calibri"/>
          <w:noProof/>
          <w:sz w:val="22"/>
        </w:rPr>
      </w:pPr>
      <w:r>
        <w:fldChar w:fldCharType="begin"/>
      </w:r>
      <w:r>
        <w:instrText xml:space="preserve"> HYPERLINK \l "_Toc256000073" </w:instrText>
      </w:r>
      <w:r>
        <w:fldChar w:fldCharType="separate"/>
      </w:r>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88</w:t>
      </w:r>
      <w:r>
        <w:fldChar w:fldCharType="end"/>
      </w:r>
      <w:r>
        <w:fldChar w:fldCharType="end"/>
      </w:r>
    </w:p>
    <w:p>
      <w:pPr>
        <w:pStyle w:val="TOC3"/>
        <w:rPr>
          <w:rFonts w:ascii="Calibri" w:hAnsi="Calibri"/>
          <w:noProof/>
          <w:sz w:val="22"/>
        </w:rPr>
      </w:pPr>
      <w:r>
        <w:fldChar w:fldCharType="begin"/>
      </w:r>
      <w:r>
        <w:instrText xml:space="preserve"> HYPERLINK \l "_Toc256000074" </w:instrText>
      </w:r>
      <w:r>
        <w:fldChar w:fldCharType="separate"/>
      </w:r>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88</w:t>
      </w:r>
      <w:r>
        <w:fldChar w:fldCharType="end"/>
      </w:r>
      <w:r>
        <w:fldChar w:fldCharType="end"/>
      </w:r>
    </w:p>
    <w:p>
      <w:pPr>
        <w:pStyle w:val="TOC3"/>
        <w:rPr>
          <w:rFonts w:ascii="Calibri" w:hAnsi="Calibri"/>
          <w:noProof/>
          <w:sz w:val="22"/>
        </w:rPr>
      </w:pPr>
      <w:r>
        <w:fldChar w:fldCharType="begin"/>
      </w:r>
      <w:r>
        <w:instrText xml:space="preserve"> HYPERLINK \l "_Toc256000075" </w:instrText>
      </w:r>
      <w:r>
        <w:fldChar w:fldCharType="separate"/>
      </w:r>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89</w:t>
      </w:r>
      <w:r>
        <w:fldChar w:fldCharType="end"/>
      </w:r>
      <w:r>
        <w:fldChar w:fldCharType="end"/>
      </w:r>
    </w:p>
    <w:p>
      <w:pPr>
        <w:pStyle w:val="TOC3"/>
        <w:rPr>
          <w:rFonts w:ascii="Calibri" w:hAnsi="Calibri"/>
          <w:noProof/>
          <w:sz w:val="22"/>
        </w:rPr>
      </w:pPr>
      <w:r>
        <w:fldChar w:fldCharType="begin"/>
      </w:r>
      <w:r>
        <w:instrText xml:space="preserve"> HYPERLINK \l "_Toc256000076" </w:instrText>
      </w:r>
      <w:r>
        <w:fldChar w:fldCharType="separate"/>
      </w:r>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"_Toc256000077" </w:instrText>
      </w:r>
      <w:r>
        <w:fldChar w:fldCharType="separate"/>
      </w:r>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"_Toc256000078" </w:instrText>
      </w:r>
      <w:r>
        <w:fldChar w:fldCharType="separate"/>
      </w:r>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"_Toc256000079" </w:instrText>
      </w:r>
      <w:r>
        <w:fldChar w:fldCharType="separate"/>
      </w:r>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91</w:t>
      </w:r>
      <w:r>
        <w:fldChar w:fldCharType="end"/>
      </w:r>
      <w:r>
        <w:fldChar w:fldCharType="end"/>
      </w:r>
    </w:p>
    <w:p>
      <w:pPr>
        <w:pStyle w:val="TOC3"/>
        <w:rPr>
          <w:rFonts w:ascii="Calibri" w:hAnsi="Calibri"/>
          <w:noProof/>
          <w:sz w:val="22"/>
        </w:rPr>
      </w:pPr>
      <w:r>
        <w:fldChar w:fldCharType="begin"/>
      </w:r>
      <w:r>
        <w:instrText xml:space="preserve"> HYPERLINK \l "_Toc256000080" </w:instrText>
      </w:r>
      <w:r>
        <w:fldChar w:fldCharType="separate"/>
      </w:r>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92</w:t>
      </w:r>
      <w:r>
        <w:fldChar w:fldCharType="end"/>
      </w:r>
      <w:r>
        <w:fldChar w:fldCharType="end"/>
      </w:r>
    </w:p>
    <w:p>
      <w:pPr>
        <w:pStyle w:val="TOC3"/>
        <w:rPr>
          <w:rFonts w:ascii="Calibri" w:hAnsi="Calibri"/>
          <w:noProof/>
          <w:sz w:val="22"/>
        </w:rPr>
      </w:pPr>
      <w:r>
        <w:fldChar w:fldCharType="begin"/>
      </w:r>
      <w:r>
        <w:instrText xml:space="preserve"> HYPERLINK \l "_Toc256000081" </w:instrText>
      </w:r>
      <w:r>
        <w:fldChar w:fldCharType="separate"/>
      </w:r>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93</w:t>
      </w:r>
      <w:r>
        <w:fldChar w:fldCharType="end"/>
      </w:r>
      <w:r>
        <w:fldChar w:fldCharType="end"/>
      </w:r>
    </w:p>
    <w:p>
      <w:pPr>
        <w:pStyle w:val="TOC3"/>
        <w:rPr>
          <w:rFonts w:ascii="Calibri" w:hAnsi="Calibri"/>
          <w:noProof/>
          <w:sz w:val="22"/>
        </w:rPr>
      </w:pPr>
      <w:r>
        <w:fldChar w:fldCharType="begin"/>
      </w:r>
      <w:r>
        <w:instrText xml:space="preserve"> HYPERLINK \l "_Toc256000082" </w:instrText>
      </w:r>
      <w:r>
        <w:fldChar w:fldCharType="separate"/>
      </w:r>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93</w:t>
      </w:r>
      <w:r>
        <w:fldChar w:fldCharType="end"/>
      </w:r>
      <w:r>
        <w:fldChar w:fldCharType="end"/>
      </w:r>
    </w:p>
    <w:p>
      <w:pPr>
        <w:pStyle w:val="TOC3"/>
        <w:rPr>
          <w:rFonts w:ascii="Calibri" w:hAnsi="Calibri"/>
          <w:noProof/>
          <w:sz w:val="22"/>
        </w:rPr>
      </w:pPr>
      <w:r>
        <w:fldChar w:fldCharType="begin"/>
      </w:r>
      <w:r>
        <w:instrText xml:space="preserve"> HYPERLINK \l "_Toc256000083" </w:instrText>
      </w:r>
      <w:r>
        <w:fldChar w:fldCharType="separate"/>
      </w:r>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94</w:t>
      </w:r>
      <w:r>
        <w:fldChar w:fldCharType="end"/>
      </w:r>
      <w:r>
        <w:fldChar w:fldCharType="end"/>
      </w:r>
    </w:p>
    <w:p>
      <w:pPr>
        <w:pStyle w:val="TOC3"/>
        <w:rPr>
          <w:rFonts w:ascii="Calibri" w:hAnsi="Calibri"/>
          <w:noProof/>
          <w:sz w:val="22"/>
        </w:rPr>
      </w:pPr>
      <w:r>
        <w:fldChar w:fldCharType="begin"/>
      </w:r>
      <w:r>
        <w:instrText xml:space="preserve"> HYPERLINK \l "_Toc256000084" </w:instrText>
      </w:r>
      <w:r>
        <w:fldChar w:fldCharType="separate"/>
      </w:r>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94</w:t>
      </w:r>
      <w:r>
        <w:fldChar w:fldCharType="end"/>
      </w:r>
      <w:r>
        <w:fldChar w:fldCharType="end"/>
      </w:r>
    </w:p>
    <w:p>
      <w:pPr>
        <w:pStyle w:val="TOC3"/>
        <w:rPr>
          <w:rFonts w:ascii="Calibri" w:hAnsi="Calibri"/>
          <w:noProof/>
          <w:sz w:val="22"/>
        </w:rPr>
      </w:pPr>
      <w:r>
        <w:fldChar w:fldCharType="begin"/>
      </w:r>
      <w:r>
        <w:instrText xml:space="preserve"> HYPERLINK \l "_Toc256000085" </w:instrText>
      </w:r>
      <w:r>
        <w:fldChar w:fldCharType="separate"/>
      </w:r>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95</w:t>
      </w:r>
      <w:r>
        <w:fldChar w:fldCharType="end"/>
      </w:r>
      <w:r>
        <w:fldChar w:fldCharType="end"/>
      </w:r>
    </w:p>
    <w:p>
      <w:pPr>
        <w:pStyle w:val="TOC3"/>
        <w:rPr>
          <w:rFonts w:ascii="Calibri" w:hAnsi="Calibri"/>
          <w:noProof/>
          <w:sz w:val="22"/>
        </w:rPr>
      </w:pPr>
      <w:r>
        <w:fldChar w:fldCharType="begin"/>
      </w:r>
      <w:r>
        <w:instrText xml:space="preserve"> HYPERLINK \l "_Toc256000086" </w:instrText>
      </w:r>
      <w:r>
        <w:fldChar w:fldCharType="separate"/>
      </w:r>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95</w:t>
      </w:r>
      <w:r>
        <w:fldChar w:fldCharType="end"/>
      </w:r>
      <w:r>
        <w:fldChar w:fldCharType="end"/>
      </w:r>
    </w:p>
    <w:p>
      <w:pPr>
        <w:pStyle w:val="TOC3"/>
        <w:rPr>
          <w:rFonts w:ascii="Calibri" w:hAnsi="Calibri"/>
          <w:noProof/>
          <w:sz w:val="22"/>
        </w:rPr>
      </w:pPr>
      <w:r>
        <w:fldChar w:fldCharType="begin"/>
      </w:r>
      <w:r>
        <w:instrText xml:space="preserve"> HYPERLINK \l "_Toc256000087" </w:instrText>
      </w:r>
      <w:r>
        <w:fldChar w:fldCharType="separate"/>
      </w:r>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96</w:t>
      </w:r>
      <w:r>
        <w:fldChar w:fldCharType="end"/>
      </w:r>
      <w:r>
        <w:fldChar w:fldCharType="end"/>
      </w:r>
    </w:p>
    <w:p>
      <w:pPr>
        <w:pStyle w:val="TOC1"/>
        <w:rPr>
          <w:rFonts w:ascii="Calibri" w:hAnsi="Calibri"/>
          <w:noProof/>
          <w:sz w:val="22"/>
        </w:rPr>
      </w:pPr>
      <w:r>
        <w:fldChar w:fldCharType="begin"/>
      </w:r>
      <w:r>
        <w:instrText xml:space="preserve"> HYPERLINK \l "_Toc256000088" </w:instrText>
      </w:r>
      <w:r>
        <w:fldChar w:fldCharType="separate"/>
      </w:r>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98</w:t>
      </w:r>
      <w:r>
        <w:fldChar w:fldCharType="end"/>
      </w:r>
      <w:r>
        <w:fldChar w:fldCharType="end"/>
      </w:r>
    </w:p>
    <w:p>
      <w:pPr>
        <w:pStyle w:val="TOC2"/>
        <w:rPr>
          <w:rFonts w:ascii="Calibri" w:hAnsi="Calibri"/>
          <w:noProof/>
          <w:sz w:val="22"/>
        </w:rPr>
      </w:pPr>
      <w:r>
        <w:fldChar w:fldCharType="begin"/>
      </w:r>
      <w:r>
        <w:instrText xml:space="preserve"> HYPERLINK \l "_Toc256000089" </w:instrText>
      </w:r>
      <w:r>
        <w:fldChar w:fldCharType="separate"/>
      </w:r>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98</w:t>
      </w:r>
      <w:r>
        <w:fldChar w:fldCharType="end"/>
      </w:r>
      <w:r>
        <w:fldChar w:fldCharType="end"/>
      </w:r>
    </w:p>
    <w:p>
      <w:pPr>
        <w:pStyle w:val="TOC2"/>
        <w:rPr>
          <w:rFonts w:ascii="Calibri" w:hAnsi="Calibri"/>
          <w:noProof/>
          <w:sz w:val="22"/>
        </w:rPr>
      </w:pPr>
      <w:r>
        <w:fldChar w:fldCharType="begin"/>
      </w:r>
      <w:r>
        <w:instrText xml:space="preserve"> HYPERLINK \l "_Toc256000090" </w:instrText>
      </w:r>
      <w:r>
        <w:fldChar w:fldCharType="separate"/>
      </w:r>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104</w:t>
      </w:r>
      <w:r>
        <w:fldChar w:fldCharType="end"/>
      </w:r>
      <w:r>
        <w:fldChar w:fldCharType="end"/>
      </w:r>
    </w:p>
    <w:p>
      <w:pPr>
        <w:pStyle w:val="TOC3"/>
        <w:rPr>
          <w:rFonts w:ascii="Calibri" w:hAnsi="Calibri"/>
          <w:noProof/>
          <w:sz w:val="22"/>
        </w:rPr>
      </w:pPr>
      <w:r>
        <w:fldChar w:fldCharType="begin"/>
      </w:r>
      <w:r>
        <w:instrText xml:space="preserve"> HYPERLINK \l "_Toc256000091" </w:instrText>
      </w:r>
      <w:r>
        <w:fldChar w:fldCharType="separate"/>
      </w:r>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104</w:t>
      </w:r>
      <w:r>
        <w:fldChar w:fldCharType="end"/>
      </w:r>
      <w:r>
        <w:fldChar w:fldCharType="end"/>
      </w:r>
    </w:p>
    <w:p>
      <w:pPr>
        <w:pStyle w:val="TOC3"/>
        <w:rPr>
          <w:rFonts w:ascii="Calibri" w:hAnsi="Calibri"/>
          <w:noProof/>
          <w:sz w:val="22"/>
        </w:rPr>
      </w:pPr>
      <w:r>
        <w:fldChar w:fldCharType="begin"/>
      </w:r>
      <w:r>
        <w:instrText xml:space="preserve"> HYPERLINK \l "_Toc256000092" </w:instrText>
      </w:r>
      <w:r>
        <w:fldChar w:fldCharType="separate"/>
      </w:r>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105</w:t>
      </w:r>
      <w:r>
        <w:fldChar w:fldCharType="end"/>
      </w:r>
      <w:r>
        <w:fldChar w:fldCharType="end"/>
      </w:r>
    </w:p>
    <w:p>
      <w:pPr>
        <w:pStyle w:val="TOC3"/>
        <w:rPr>
          <w:rFonts w:ascii="Calibri" w:hAnsi="Calibri"/>
          <w:noProof/>
          <w:sz w:val="22"/>
        </w:rPr>
      </w:pPr>
      <w:r>
        <w:fldChar w:fldCharType="begin"/>
      </w:r>
      <w:r>
        <w:instrText xml:space="preserve"> HYPERLINK \l "_Toc256000093" </w:instrText>
      </w:r>
      <w:r>
        <w:fldChar w:fldCharType="separate"/>
      </w:r>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107</w:t>
      </w:r>
      <w:r>
        <w:fldChar w:fldCharType="end"/>
      </w:r>
      <w:r>
        <w:fldChar w:fldCharType="end"/>
      </w:r>
    </w:p>
    <w:p>
      <w:pPr>
        <w:pStyle w:val="TOC3"/>
        <w:rPr>
          <w:rFonts w:ascii="Calibri" w:hAnsi="Calibri"/>
          <w:noProof/>
          <w:sz w:val="22"/>
        </w:rPr>
      </w:pPr>
      <w:r>
        <w:fldChar w:fldCharType="begin"/>
      </w:r>
      <w:r>
        <w:instrText xml:space="preserve"> HYPERLINK \l "_Toc256000094" </w:instrText>
      </w:r>
      <w:r>
        <w:fldChar w:fldCharType="separate"/>
      </w:r>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109</w:t>
      </w:r>
      <w:r>
        <w:fldChar w:fldCharType="end"/>
      </w:r>
      <w:r>
        <w:fldChar w:fldCharType="end"/>
      </w:r>
    </w:p>
    <w:p>
      <w:pPr>
        <w:pStyle w:val="TOC3"/>
        <w:rPr>
          <w:rFonts w:ascii="Calibri" w:hAnsi="Calibri"/>
          <w:noProof/>
          <w:sz w:val="22"/>
        </w:rPr>
      </w:pPr>
      <w:r>
        <w:fldChar w:fldCharType="begin"/>
      </w:r>
      <w:r>
        <w:instrText xml:space="preserve"> HYPERLINK \l "_Toc256000095" </w:instrText>
      </w:r>
      <w:r>
        <w:fldChar w:fldCharType="separate"/>
      </w:r>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113</w:t>
      </w:r>
      <w:r>
        <w:fldChar w:fldCharType="end"/>
      </w:r>
      <w:r>
        <w:fldChar w:fldCharType="end"/>
      </w:r>
    </w:p>
    <w:p>
      <w:pPr>
        <w:pStyle w:val="TOC3"/>
        <w:rPr>
          <w:rFonts w:ascii="Calibri" w:hAnsi="Calibri"/>
          <w:noProof/>
          <w:sz w:val="22"/>
        </w:rPr>
      </w:pPr>
      <w:r>
        <w:fldChar w:fldCharType="begin"/>
      </w:r>
      <w:r>
        <w:instrText xml:space="preserve"> HYPERLINK \l "_Toc256000096" </w:instrText>
      </w:r>
      <w:r>
        <w:fldChar w:fldCharType="separate"/>
      </w:r>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117</w:t>
      </w:r>
      <w:r>
        <w:fldChar w:fldCharType="end"/>
      </w:r>
      <w:r>
        <w:fldChar w:fldCharType="end"/>
      </w:r>
    </w:p>
    <w:p>
      <w:pPr>
        <w:pStyle w:val="TOC2"/>
        <w:rPr>
          <w:rFonts w:ascii="Calibri" w:hAnsi="Calibri"/>
          <w:noProof/>
          <w:sz w:val="22"/>
        </w:rPr>
      </w:pPr>
      <w:r>
        <w:fldChar w:fldCharType="begin"/>
      </w:r>
      <w:r>
        <w:instrText xml:space="preserve"> HYPERLINK \l "_Toc256000097" </w:instrText>
      </w:r>
      <w:r>
        <w:fldChar w:fldCharType="separate"/>
      </w:r>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120</w:t>
      </w:r>
      <w:r>
        <w:fldChar w:fldCharType="end"/>
      </w:r>
      <w:r>
        <w:fldChar w:fldCharType="end"/>
      </w:r>
    </w:p>
    <w:p>
      <w:pPr>
        <w:pStyle w:val="TOC2"/>
        <w:rPr>
          <w:rFonts w:ascii="Calibri" w:hAnsi="Calibri"/>
          <w:noProof/>
          <w:sz w:val="22"/>
        </w:rPr>
      </w:pPr>
      <w:r>
        <w:fldChar w:fldCharType="begin"/>
      </w:r>
      <w:r>
        <w:instrText xml:space="preserve"> HYPERLINK \l "_Toc256000098" </w:instrText>
      </w:r>
      <w:r>
        <w:fldChar w:fldCharType="separate"/>
      </w:r>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123</w:t>
      </w:r>
      <w:r>
        <w:fldChar w:fldCharType="end"/>
      </w:r>
      <w:r>
        <w:fldChar w:fldCharType="end"/>
      </w:r>
    </w:p>
    <w:p>
      <w:pPr>
        <w:pStyle w:val="TOC2"/>
        <w:rPr>
          <w:rFonts w:ascii="Calibri" w:hAnsi="Calibri"/>
          <w:noProof/>
          <w:sz w:val="22"/>
        </w:rPr>
      </w:pPr>
      <w:r>
        <w:fldChar w:fldCharType="begin"/>
      </w:r>
      <w:r>
        <w:instrText xml:space="preserve"> HYPERLINK \l "_Toc256000099" </w:instrText>
      </w:r>
      <w:r>
        <w:fldChar w:fldCharType="separate"/>
      </w:r>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125</w:t>
      </w:r>
      <w:r>
        <w:fldChar w:fldCharType="end"/>
      </w:r>
      <w:r>
        <w:fldChar w:fldCharType="end"/>
      </w:r>
    </w:p>
    <w:p>
      <w:pPr>
        <w:pStyle w:val="TOC1"/>
        <w:rPr>
          <w:rFonts w:ascii="Calibri" w:hAnsi="Calibri"/>
          <w:noProof/>
          <w:sz w:val="22"/>
        </w:rPr>
      </w:pPr>
      <w:r>
        <w:fldChar w:fldCharType="begin"/>
      </w:r>
      <w:r>
        <w:instrText xml:space="preserve"> HYPERLINK \l "_Toc256000100" </w:instrText>
      </w:r>
      <w:r>
        <w:fldChar w:fldCharType="separate"/>
      </w:r>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129</w:t>
      </w:r>
      <w:r>
        <w:fldChar w:fldCharType="end"/>
      </w:r>
      <w:r>
        <w:fldChar w:fldCharType="end"/>
      </w:r>
    </w:p>
    <w:p>
      <w:pPr>
        <w:pStyle w:val="TOC2"/>
        <w:rPr>
          <w:rFonts w:ascii="Calibri" w:hAnsi="Calibri"/>
          <w:noProof/>
          <w:sz w:val="22"/>
        </w:rPr>
      </w:pPr>
      <w:r>
        <w:fldChar w:fldCharType="begin"/>
      </w:r>
      <w:r>
        <w:instrText xml:space="preserve"> HYPERLINK \l "_Toc256000101" </w:instrText>
      </w:r>
      <w:r>
        <w:fldChar w:fldCharType="separate"/>
      </w:r>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129</w:t>
      </w:r>
      <w:r>
        <w:fldChar w:fldCharType="end"/>
      </w:r>
      <w:r>
        <w:fldChar w:fldCharType="end"/>
      </w:r>
    </w:p>
    <w:p>
      <w:pPr>
        <w:pStyle w:val="TOC2"/>
        <w:rPr>
          <w:rFonts w:ascii="Calibri" w:hAnsi="Calibri"/>
          <w:noProof/>
          <w:sz w:val="22"/>
        </w:rPr>
      </w:pPr>
      <w:r>
        <w:fldChar w:fldCharType="begin"/>
      </w:r>
      <w:r>
        <w:instrText xml:space="preserve"> HYPERLINK \l "_Toc256000102" </w:instrText>
      </w:r>
      <w:r>
        <w:fldChar w:fldCharType="separate"/>
      </w:r>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130</w:t>
      </w:r>
      <w:r>
        <w:fldChar w:fldCharType="end"/>
      </w:r>
      <w:r>
        <w:fldChar w:fldCharType="end"/>
      </w:r>
    </w:p>
    <w:p>
      <w:pPr>
        <w:pStyle w:val="TOC3"/>
        <w:rPr>
          <w:rFonts w:ascii="Calibri" w:hAnsi="Calibri"/>
          <w:noProof/>
          <w:sz w:val="22"/>
        </w:rPr>
      </w:pPr>
      <w:r>
        <w:fldChar w:fldCharType="begin"/>
      </w:r>
      <w:r>
        <w:instrText xml:space="preserve"> HYPERLINK \l "_Toc256000103" </w:instrText>
      </w:r>
      <w:r>
        <w:fldChar w:fldCharType="separate"/>
      </w:r>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156</w:t>
      </w:r>
      <w:r>
        <w:fldChar w:fldCharType="end"/>
      </w:r>
      <w:r>
        <w:fldChar w:fldCharType="end"/>
      </w:r>
    </w:p>
    <w:p>
      <w:pPr>
        <w:pStyle w:val="TOC3"/>
        <w:rPr>
          <w:rFonts w:ascii="Calibri" w:hAnsi="Calibri"/>
          <w:noProof/>
          <w:sz w:val="22"/>
        </w:rPr>
      </w:pPr>
      <w:r>
        <w:fldChar w:fldCharType="begin"/>
      </w:r>
      <w:r>
        <w:instrText xml:space="preserve"> HYPERLINK \l "_Toc256000104" </w:instrText>
      </w:r>
      <w:r>
        <w:fldChar w:fldCharType="separate"/>
      </w:r>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159</w:t>
      </w:r>
      <w:r>
        <w:fldChar w:fldCharType="end"/>
      </w:r>
      <w:r>
        <w:fldChar w:fldCharType="end"/>
      </w:r>
    </w:p>
    <w:p>
      <w:pPr>
        <w:pStyle w:val="TOC1"/>
        <w:rPr>
          <w:rFonts w:ascii="Calibri" w:hAnsi="Calibri"/>
          <w:noProof/>
          <w:sz w:val="22"/>
        </w:rPr>
      </w:pPr>
      <w:r>
        <w:fldChar w:fldCharType="begin"/>
      </w:r>
      <w:r>
        <w:instrText xml:space="preserve"> HYPERLINK \l "_Toc256000105" </w:instrText>
      </w:r>
      <w:r>
        <w:fldChar w:fldCharType="separate"/>
      </w:r>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163</w:t>
      </w:r>
      <w:r>
        <w:fldChar w:fldCharType="end"/>
      </w:r>
      <w:r>
        <w:fldChar w:fldCharType="end"/>
      </w:r>
    </w:p>
    <w:p>
      <w:pPr>
        <w:pStyle w:val="TOC2"/>
        <w:rPr>
          <w:rFonts w:ascii="Calibri" w:hAnsi="Calibri"/>
          <w:noProof/>
          <w:sz w:val="22"/>
        </w:rPr>
      </w:pPr>
      <w:r>
        <w:fldChar w:fldCharType="begin"/>
      </w:r>
      <w:r>
        <w:instrText xml:space="preserve"> HYPERLINK \l "_Toc256000106" </w:instrText>
      </w:r>
      <w:r>
        <w:fldChar w:fldCharType="separate"/>
      </w:r>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163</w:t>
      </w:r>
      <w:r>
        <w:fldChar w:fldCharType="end"/>
      </w:r>
      <w:r>
        <w:fldChar w:fldCharType="end"/>
      </w:r>
    </w:p>
    <w:p>
      <w:pPr>
        <w:pStyle w:val="TOC3"/>
        <w:rPr>
          <w:rFonts w:ascii="Calibri" w:hAnsi="Calibri"/>
          <w:noProof/>
          <w:sz w:val="22"/>
        </w:rPr>
      </w:pPr>
      <w:r>
        <w:fldChar w:fldCharType="begin"/>
      </w:r>
      <w:r>
        <w:instrText xml:space="preserve"> HYPERLINK \l "_Toc256000107" </w:instrText>
      </w:r>
      <w:r>
        <w:fldChar w:fldCharType="separate"/>
      </w:r>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167</w:t>
      </w:r>
      <w:r>
        <w:fldChar w:fldCharType="end"/>
      </w:r>
      <w:r>
        <w:fldChar w:fldCharType="end"/>
      </w:r>
    </w:p>
    <w:p>
      <w:pPr>
        <w:pStyle w:val="TOC3"/>
        <w:rPr>
          <w:rFonts w:ascii="Calibri" w:hAnsi="Calibri"/>
          <w:noProof/>
          <w:sz w:val="22"/>
        </w:rPr>
      </w:pPr>
      <w:r>
        <w:fldChar w:fldCharType="begin"/>
      </w:r>
      <w:r>
        <w:instrText xml:space="preserve"> HYPERLINK \l "_Toc256000108" </w:instrText>
      </w:r>
      <w:r>
        <w:fldChar w:fldCharType="separate"/>
      </w:r>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167</w:t>
      </w:r>
      <w:r>
        <w:fldChar w:fldCharType="end"/>
      </w:r>
      <w:r>
        <w:fldChar w:fldCharType="end"/>
      </w:r>
    </w:p>
    <w:p>
      <w:pPr>
        <w:pStyle w:val="TOC3"/>
        <w:rPr>
          <w:rFonts w:ascii="Calibri" w:hAnsi="Calibri"/>
          <w:noProof/>
          <w:sz w:val="22"/>
        </w:rPr>
      </w:pPr>
      <w:r>
        <w:fldChar w:fldCharType="begin"/>
      </w:r>
      <w:r>
        <w:instrText xml:space="preserve"> HYPERLINK \l "_Toc256000109" </w:instrText>
      </w:r>
      <w:r>
        <w:fldChar w:fldCharType="separate"/>
      </w:r>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168</w:t>
      </w:r>
      <w:r>
        <w:fldChar w:fldCharType="end"/>
      </w:r>
      <w:r>
        <w:fldChar w:fldCharType="end"/>
      </w:r>
    </w:p>
    <w:p>
      <w:pPr>
        <w:pStyle w:val="TOC3"/>
        <w:rPr>
          <w:rFonts w:ascii="Calibri" w:hAnsi="Calibri"/>
          <w:noProof/>
          <w:sz w:val="22"/>
        </w:rPr>
      </w:pPr>
      <w:r>
        <w:fldChar w:fldCharType="begin"/>
      </w:r>
      <w:r>
        <w:instrText xml:space="preserve"> HYPERLINK \l "_Toc256000110" </w:instrText>
      </w:r>
      <w:r>
        <w:fldChar w:fldCharType="separate"/>
      </w:r>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169</w:t>
      </w:r>
      <w:r>
        <w:fldChar w:fldCharType="end"/>
      </w:r>
      <w:r>
        <w:fldChar w:fldCharType="end"/>
      </w:r>
    </w:p>
    <w:p>
      <w:pPr>
        <w:pStyle w:val="TOC3"/>
        <w:rPr>
          <w:rFonts w:ascii="Calibri" w:hAnsi="Calibri"/>
          <w:noProof/>
          <w:sz w:val="22"/>
        </w:rPr>
      </w:pPr>
      <w:r>
        <w:fldChar w:fldCharType="begin"/>
      </w:r>
      <w:r>
        <w:instrText xml:space="preserve"> HYPERLINK \l "_Toc256000111" </w:instrText>
      </w:r>
      <w:r>
        <w:fldChar w:fldCharType="separate"/>
      </w:r>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170</w:t>
      </w:r>
      <w:r>
        <w:fldChar w:fldCharType="end"/>
      </w:r>
      <w:r>
        <w:fldChar w:fldCharType="end"/>
      </w:r>
    </w:p>
    <w:p>
      <w:pPr>
        <w:pStyle w:val="TOC2"/>
        <w:rPr>
          <w:rFonts w:ascii="Calibri" w:hAnsi="Calibri"/>
          <w:noProof/>
          <w:sz w:val="22"/>
        </w:rPr>
      </w:pPr>
      <w:r>
        <w:fldChar w:fldCharType="begin"/>
      </w:r>
      <w:r>
        <w:instrText xml:space="preserve"> HYPERLINK \l "_Toc256000112" </w:instrText>
      </w:r>
      <w:r>
        <w:fldChar w:fldCharType="separate"/>
      </w:r>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172</w:t>
      </w:r>
      <w:r>
        <w:fldChar w:fldCharType="end"/>
      </w:r>
      <w:r>
        <w:fldChar w:fldCharType="end"/>
      </w:r>
    </w:p>
    <w:p>
      <w:pPr>
        <w:pStyle w:val="TOC3"/>
        <w:rPr>
          <w:rFonts w:ascii="Calibri" w:hAnsi="Calibri"/>
          <w:noProof/>
          <w:sz w:val="22"/>
        </w:rPr>
      </w:pPr>
      <w:r>
        <w:fldChar w:fldCharType="begin"/>
      </w:r>
      <w:r>
        <w:instrText xml:space="preserve"> HYPERLINK \l "_Toc256000113" </w:instrText>
      </w:r>
      <w:r>
        <w:fldChar w:fldCharType="separate"/>
      </w:r>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172</w:t>
      </w:r>
      <w:r>
        <w:fldChar w:fldCharType="end"/>
      </w:r>
      <w:r>
        <w:fldChar w:fldCharType="end"/>
      </w:r>
    </w:p>
    <w:p>
      <w:pPr>
        <w:pStyle w:val="TOC2"/>
        <w:rPr>
          <w:rFonts w:ascii="Calibri" w:hAnsi="Calibri"/>
          <w:noProof/>
          <w:sz w:val="22"/>
        </w:rPr>
      </w:pPr>
      <w:r>
        <w:fldChar w:fldCharType="begin"/>
      </w:r>
      <w:r>
        <w:instrText xml:space="preserve"> HYPERLINK \l "_Toc256000114" </w:instrText>
      </w:r>
      <w:r>
        <w:fldChar w:fldCharType="separate"/>
      </w:r>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174</w:t>
      </w:r>
      <w:r>
        <w:fldChar w:fldCharType="end"/>
      </w:r>
      <w:r>
        <w:fldChar w:fldCharType="end"/>
      </w:r>
    </w:p>
    <w:p>
      <w:pPr>
        <w:pStyle w:val="TOC1"/>
        <w:rPr>
          <w:rFonts w:ascii="Calibri" w:hAnsi="Calibri"/>
          <w:noProof/>
          <w:sz w:val="22"/>
        </w:rPr>
      </w:pPr>
      <w:r>
        <w:fldChar w:fldCharType="begin"/>
      </w:r>
      <w:r>
        <w:instrText xml:space="preserve"> HYPERLINK \l "_Toc256000115" </w:instrText>
      </w:r>
      <w:r>
        <w:fldChar w:fldCharType="separate"/>
      </w:r>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176</w:t>
      </w:r>
      <w:r>
        <w:fldChar w:fldCharType="end"/>
      </w:r>
      <w:r>
        <w:fldChar w:fldCharType="end"/>
      </w:r>
    </w:p>
    <w:p>
      <w:pPr>
        <w:pStyle w:val="TOC2"/>
        <w:rPr>
          <w:rFonts w:ascii="Calibri" w:hAnsi="Calibri"/>
          <w:noProof/>
          <w:sz w:val="22"/>
        </w:rPr>
      </w:pPr>
      <w:r>
        <w:fldChar w:fldCharType="begin"/>
      </w:r>
      <w:r>
        <w:instrText xml:space="preserve"> HYPERLINK \l "_Toc256000116" </w:instrText>
      </w:r>
      <w:r>
        <w:fldChar w:fldCharType="separate"/>
      </w:r>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176</w:t>
      </w:r>
      <w:r>
        <w:fldChar w:fldCharType="end"/>
      </w:r>
      <w:r>
        <w:fldChar w:fldCharType="end"/>
      </w:r>
    </w:p>
    <w:p>
      <w:pPr>
        <w:pStyle w:val="TOC2"/>
        <w:rPr>
          <w:rFonts w:ascii="Calibri" w:hAnsi="Calibri"/>
          <w:noProof/>
          <w:sz w:val="22"/>
        </w:rPr>
      </w:pPr>
      <w:r>
        <w:fldChar w:fldCharType="begin"/>
      </w:r>
      <w:r>
        <w:instrText xml:space="preserve"> HYPERLINK \l "_Toc256000117" </w:instrText>
      </w:r>
      <w:r>
        <w:fldChar w:fldCharType="separate"/>
      </w:r>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183</w:t>
      </w:r>
      <w:r>
        <w:fldChar w:fldCharType="end"/>
      </w:r>
      <w:r>
        <w:fldChar w:fldCharType="end"/>
      </w:r>
    </w:p>
    <w:p>
      <w:pPr>
        <w:pStyle w:val="TOC3"/>
        <w:rPr>
          <w:rFonts w:ascii="Calibri" w:hAnsi="Calibri"/>
          <w:noProof/>
          <w:sz w:val="22"/>
        </w:rPr>
      </w:pPr>
      <w:r>
        <w:fldChar w:fldCharType="begin"/>
      </w:r>
      <w:r>
        <w:instrText xml:space="preserve"> HYPERLINK \l "_Toc256000118" </w:instrText>
      </w:r>
      <w:r>
        <w:fldChar w:fldCharType="separate"/>
      </w:r>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183</w:t>
      </w:r>
      <w:r>
        <w:fldChar w:fldCharType="end"/>
      </w:r>
      <w:r>
        <w:fldChar w:fldCharType="end"/>
      </w:r>
    </w:p>
    <w:p>
      <w:pPr>
        <w:pStyle w:val="TOC3"/>
        <w:rPr>
          <w:rFonts w:ascii="Calibri" w:hAnsi="Calibri"/>
          <w:noProof/>
          <w:sz w:val="22"/>
        </w:rPr>
      </w:pPr>
      <w:r>
        <w:fldChar w:fldCharType="begin"/>
      </w:r>
      <w:r>
        <w:instrText xml:space="preserve"> HYPERLINK \l "_Toc256000119" </w:instrText>
      </w:r>
      <w:r>
        <w:fldChar w:fldCharType="separate"/>
      </w:r>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209</w:t>
      </w:r>
      <w:r>
        <w:fldChar w:fldCharType="end"/>
      </w:r>
      <w:r>
        <w:fldChar w:fldCharType="end"/>
      </w:r>
    </w:p>
    <w:p>
      <w:pPr>
        <w:pStyle w:val="TOC3"/>
        <w:rPr>
          <w:rFonts w:ascii="Calibri" w:hAnsi="Calibri"/>
          <w:noProof/>
          <w:sz w:val="22"/>
        </w:rPr>
      </w:pPr>
      <w:r>
        <w:fldChar w:fldCharType="begin"/>
      </w:r>
      <w:r>
        <w:instrText xml:space="preserve"> HYPERLINK \l "_Toc256000120" </w:instrText>
      </w:r>
      <w:r>
        <w:fldChar w:fldCharType="separate"/>
      </w:r>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243</w:t>
      </w:r>
      <w:r>
        <w:fldChar w:fldCharType="end"/>
      </w:r>
      <w:r>
        <w:fldChar w:fldCharType="end"/>
      </w:r>
    </w:p>
    <w:p>
      <w:pPr>
        <w:pStyle w:val="TOC3"/>
        <w:rPr>
          <w:rFonts w:ascii="Calibri" w:hAnsi="Calibri"/>
          <w:noProof/>
          <w:sz w:val="22"/>
        </w:rPr>
      </w:pPr>
      <w:r>
        <w:fldChar w:fldCharType="begin"/>
      </w:r>
      <w:r>
        <w:instrText xml:space="preserve"> HYPERLINK \l "_Toc256000121" </w:instrText>
      </w:r>
      <w:r>
        <w:fldChar w:fldCharType="separate"/>
      </w:r>
      <w:r>
        <w:rPr>
          <w:rStyle w:val="Hyperlink"/>
        </w:rPr>
        <w:t>8.2.4.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_Toc256000121 \h </w:instrText>
      </w:r>
      <w:r>
        <w:fldChar w:fldCharType="separate"/>
      </w:r>
      <w:r>
        <w:t>312</w:t>
      </w:r>
      <w:r>
        <w:fldChar w:fldCharType="end"/>
      </w:r>
      <w:r>
        <w:fldChar w:fldCharType="end"/>
      </w:r>
    </w:p>
    <w:p>
      <w:pPr>
        <w:pStyle w:val="TOC3"/>
        <w:rPr>
          <w:rFonts w:ascii="Calibri" w:hAnsi="Calibri"/>
          <w:noProof/>
          <w:sz w:val="22"/>
        </w:rPr>
      </w:pPr>
      <w:r>
        <w:fldChar w:fldCharType="begin"/>
      </w:r>
      <w:r>
        <w:instrText xml:space="preserve"> HYPERLINK \l "_Toc256000122" </w:instrText>
      </w:r>
      <w:r>
        <w:fldChar w:fldCharType="separate"/>
      </w:r>
      <w:r>
        <w:rPr>
          <w:rStyle w:val="Hyperlink"/>
        </w:rPr>
        <w:t>8.2.5.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_Toc256000122 \h </w:instrText>
      </w:r>
      <w:r>
        <w:fldChar w:fldCharType="separate"/>
      </w:r>
      <w:r>
        <w:t>361</w:t>
      </w:r>
      <w:r>
        <w:fldChar w:fldCharType="end"/>
      </w:r>
      <w:r>
        <w:fldChar w:fldCharType="end"/>
      </w:r>
    </w:p>
    <w:p>
      <w:pPr>
        <w:pStyle w:val="TOC3"/>
        <w:rPr>
          <w:rFonts w:ascii="Calibri" w:hAnsi="Calibri"/>
          <w:noProof/>
          <w:sz w:val="22"/>
        </w:rPr>
      </w:pPr>
      <w:r>
        <w:fldChar w:fldCharType="begin"/>
      </w:r>
      <w:r>
        <w:instrText xml:space="preserve"> HYPERLINK \l "_Toc256000123" </w:instrText>
      </w:r>
      <w:r>
        <w:fldChar w:fldCharType="separate"/>
      </w:r>
      <w:r>
        <w:rPr>
          <w:rStyle w:val="Hyperlink"/>
        </w:rPr>
        <w:t>8.2.6.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_Toc256000123 \h </w:instrText>
      </w:r>
      <w:r>
        <w:fldChar w:fldCharType="separate"/>
      </w:r>
      <w:r>
        <w:t>398</w:t>
      </w:r>
      <w:r>
        <w:fldChar w:fldCharType="end"/>
      </w:r>
      <w:r>
        <w:fldChar w:fldCharType="end"/>
      </w:r>
    </w:p>
    <w:p>
      <w:pPr>
        <w:pStyle w:val="TOC3"/>
        <w:rPr>
          <w:rFonts w:ascii="Calibri" w:hAnsi="Calibri"/>
          <w:noProof/>
          <w:sz w:val="22"/>
        </w:rPr>
      </w:pPr>
      <w:r>
        <w:fldChar w:fldCharType="begin"/>
      </w:r>
      <w:r>
        <w:instrText xml:space="preserve"> HYPERLINK \l "_Toc256000124" </w:instrText>
      </w:r>
      <w:r>
        <w:fldChar w:fldCharType="separate"/>
      </w:r>
      <w:r>
        <w:rPr>
          <w:rStyle w:val="Hyperlink"/>
        </w:rPr>
        <w:t>8.2.7.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_Toc256000124 \h </w:instrText>
      </w:r>
      <w:r>
        <w:fldChar w:fldCharType="separate"/>
      </w:r>
      <w:r>
        <w:t>451</w:t>
      </w:r>
      <w:r>
        <w:fldChar w:fldCharType="end"/>
      </w:r>
      <w:r>
        <w:fldChar w:fldCharType="end"/>
      </w:r>
    </w:p>
    <w:p>
      <w:pPr>
        <w:pStyle w:val="TOC3"/>
        <w:rPr>
          <w:rFonts w:ascii="Calibri" w:hAnsi="Calibri"/>
          <w:noProof/>
          <w:sz w:val="22"/>
        </w:rPr>
      </w:pPr>
      <w:r>
        <w:fldChar w:fldCharType="begin"/>
      </w:r>
      <w:r>
        <w:instrText xml:space="preserve"> HYPERLINK \l "_Toc256000125" </w:instrText>
      </w:r>
      <w:r>
        <w:fldChar w:fldCharType="separate"/>
      </w:r>
      <w:r>
        <w:rPr>
          <w:rStyle w:val="Hyperlink"/>
        </w:rPr>
        <w:t>8.2.8.</w:t>
      </w:r>
      <w:r>
        <w:rPr>
          <w:rStyle w:val="Hyperlink"/>
        </w:rPr>
        <w:t xml:space="preserve"> </w:t>
      </w:r>
      <w:r>
        <w:rPr>
          <w:rStyle w:val="Hyperlink"/>
        </w:rPr>
        <w:t>M10 — Агроекология и климат (член 28)</w:t>
      </w:r>
      <w:r>
        <w:tab/>
      </w:r>
      <w:r>
        <w:fldChar w:fldCharType="begin"/>
      </w:r>
      <w:r>
        <w:instrText xml:space="preserve"> PAGEREF _Toc256000125 \h </w:instrText>
      </w:r>
      <w:r>
        <w:fldChar w:fldCharType="separate"/>
      </w:r>
      <w:r>
        <w:t>464</w:t>
      </w:r>
      <w:r>
        <w:fldChar w:fldCharType="end"/>
      </w:r>
      <w:r>
        <w:fldChar w:fldCharType="end"/>
      </w:r>
    </w:p>
    <w:p>
      <w:pPr>
        <w:pStyle w:val="TOC3"/>
        <w:rPr>
          <w:rFonts w:ascii="Calibri" w:hAnsi="Calibri"/>
          <w:noProof/>
          <w:sz w:val="22"/>
        </w:rPr>
      </w:pPr>
      <w:r>
        <w:fldChar w:fldCharType="begin"/>
      </w:r>
      <w:r>
        <w:instrText xml:space="preserve"> HYPERLINK \l "_Toc256000126" </w:instrText>
      </w:r>
      <w:r>
        <w:fldChar w:fldCharType="separate"/>
      </w:r>
      <w:r>
        <w:rPr>
          <w:rStyle w:val="Hyperlink"/>
        </w:rPr>
        <w:t>8.2.9.</w:t>
      </w:r>
      <w:r>
        <w:rPr>
          <w:rStyle w:val="Hyperlink"/>
        </w:rPr>
        <w:t xml:space="preserve"> </w:t>
      </w:r>
      <w:r>
        <w:rPr>
          <w:rStyle w:val="Hyperlink"/>
        </w:rPr>
        <w:t>М11 — Биологично земеделие (член 29)</w:t>
      </w:r>
      <w:r>
        <w:tab/>
      </w:r>
      <w:r>
        <w:fldChar w:fldCharType="begin"/>
      </w:r>
      <w:r>
        <w:instrText xml:space="preserve"> PAGEREF _Toc256000126 \h </w:instrText>
      </w:r>
      <w:r>
        <w:fldChar w:fldCharType="separate"/>
      </w:r>
      <w:r>
        <w:t>514</w:t>
      </w:r>
      <w:r>
        <w:fldChar w:fldCharType="end"/>
      </w:r>
      <w:r>
        <w:fldChar w:fldCharType="end"/>
      </w:r>
    </w:p>
    <w:p>
      <w:pPr>
        <w:pStyle w:val="TOC3"/>
        <w:rPr>
          <w:rFonts w:ascii="Calibri" w:hAnsi="Calibri"/>
          <w:noProof/>
          <w:sz w:val="22"/>
        </w:rPr>
      </w:pPr>
      <w:r>
        <w:fldChar w:fldCharType="begin"/>
      </w:r>
      <w:r>
        <w:instrText xml:space="preserve"> HYPERLINK \l "_Toc256000127" </w:instrText>
      </w:r>
      <w:r>
        <w:fldChar w:fldCharType="separate"/>
      </w:r>
      <w:r>
        <w:rPr>
          <w:rStyle w:val="Hyperlink"/>
        </w:rPr>
        <w:t>8.2.10.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_Toc256000127 \h </w:instrText>
      </w:r>
      <w:r>
        <w:fldChar w:fldCharType="separate"/>
      </w:r>
      <w:r>
        <w:t>537</w:t>
      </w:r>
      <w:r>
        <w:fldChar w:fldCharType="end"/>
      </w:r>
      <w:r>
        <w:fldChar w:fldCharType="end"/>
      </w:r>
    </w:p>
    <w:p>
      <w:pPr>
        <w:pStyle w:val="TOC3"/>
        <w:rPr>
          <w:rFonts w:ascii="Calibri" w:hAnsi="Calibri"/>
          <w:noProof/>
          <w:sz w:val="22"/>
        </w:rPr>
      </w:pPr>
      <w:r>
        <w:fldChar w:fldCharType="begin"/>
      </w:r>
      <w:r>
        <w:instrText xml:space="preserve"> HYPERLINK \l "_Toc256000128" </w:instrText>
      </w:r>
      <w:r>
        <w:fldChar w:fldCharType="separate"/>
      </w:r>
      <w:r>
        <w:rPr>
          <w:rStyle w:val="Hyperlink"/>
        </w:rPr>
        <w:t>8.2.11.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_Toc256000128 \h </w:instrText>
      </w:r>
      <w:r>
        <w:fldChar w:fldCharType="separate"/>
      </w:r>
      <w:r>
        <w:t>556</w:t>
      </w:r>
      <w:r>
        <w:fldChar w:fldCharType="end"/>
      </w:r>
      <w:r>
        <w:fldChar w:fldCharType="end"/>
      </w:r>
    </w:p>
    <w:p>
      <w:pPr>
        <w:pStyle w:val="TOC3"/>
        <w:rPr>
          <w:rFonts w:ascii="Calibri" w:hAnsi="Calibri"/>
          <w:noProof/>
          <w:sz w:val="22"/>
        </w:rPr>
      </w:pPr>
      <w:r>
        <w:fldChar w:fldCharType="begin"/>
      </w:r>
      <w:r>
        <w:instrText xml:space="preserve"> HYPERLINK \l "_Toc256000129" </w:instrText>
      </w:r>
      <w:r>
        <w:fldChar w:fldCharType="separate"/>
      </w:r>
      <w:r>
        <w:rPr>
          <w:rStyle w:val="Hyperlink"/>
        </w:rPr>
        <w:t>8.2.12.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_Toc256000129 \h </w:instrText>
      </w:r>
      <w:r>
        <w:fldChar w:fldCharType="separate"/>
      </w:r>
      <w:r>
        <w:t>572</w:t>
      </w:r>
      <w:r>
        <w:fldChar w:fldCharType="end"/>
      </w:r>
      <w:r>
        <w:fldChar w:fldCharType="end"/>
      </w:r>
    </w:p>
    <w:p>
      <w:pPr>
        <w:pStyle w:val="TOC3"/>
        <w:rPr>
          <w:rFonts w:ascii="Calibri" w:hAnsi="Calibri"/>
          <w:noProof/>
          <w:sz w:val="22"/>
        </w:rPr>
      </w:pPr>
      <w:r>
        <w:fldChar w:fldCharType="begin"/>
      </w:r>
      <w:r>
        <w:instrText xml:space="preserve"> HYPERLINK \l "_Toc256000130" </w:instrText>
      </w:r>
      <w:r>
        <w:fldChar w:fldCharType="separate"/>
      </w:r>
      <w:r>
        <w:rPr>
          <w:rStyle w:val="Hyperlink"/>
        </w:rPr>
        <w:t>8.2.13.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_Toc256000130 \h </w:instrText>
      </w:r>
      <w:r>
        <w:fldChar w:fldCharType="separate"/>
      </w:r>
      <w:r>
        <w:t>587</w:t>
      </w:r>
      <w:r>
        <w:fldChar w:fldCharType="end"/>
      </w:r>
      <w:r>
        <w:fldChar w:fldCharType="end"/>
      </w:r>
    </w:p>
    <w:p>
      <w:pPr>
        <w:pStyle w:val="TOC3"/>
        <w:rPr>
          <w:rFonts w:ascii="Calibri" w:hAnsi="Calibri"/>
          <w:noProof/>
          <w:sz w:val="22"/>
        </w:rPr>
      </w:pPr>
      <w:r>
        <w:fldChar w:fldCharType="begin"/>
      </w:r>
      <w:r>
        <w:instrText xml:space="preserve"> HYPERLINK \l "_Toc256000131" </w:instrText>
      </w:r>
      <w:r>
        <w:fldChar w:fldCharType="separate"/>
      </w:r>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597</w:t>
      </w:r>
      <w:r>
        <w:fldChar w:fldCharType="end"/>
      </w:r>
      <w:r>
        <w:fldChar w:fldCharType="end"/>
      </w:r>
    </w:p>
    <w:p>
      <w:pPr>
        <w:pStyle w:val="TOC3"/>
        <w:rPr>
          <w:rFonts w:ascii="Calibri" w:hAnsi="Calibri"/>
          <w:noProof/>
          <w:sz w:val="22"/>
        </w:rPr>
      </w:pPr>
      <w:r>
        <w:fldChar w:fldCharType="begin"/>
      </w:r>
      <w:r>
        <w:instrText xml:space="preserve"> HYPERLINK \l "_Toc256000132" </w:instrText>
      </w:r>
      <w:r>
        <w:fldChar w:fldCharType="separate"/>
      </w:r>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624</w:t>
      </w:r>
      <w:r>
        <w:fldChar w:fldCharType="end"/>
      </w:r>
      <w:r>
        <w:fldChar w:fldCharType="end"/>
      </w:r>
    </w:p>
    <w:p>
      <w:pPr>
        <w:pStyle w:val="TOC1"/>
        <w:rPr>
          <w:rFonts w:ascii="Calibri" w:hAnsi="Calibri"/>
          <w:noProof/>
          <w:sz w:val="22"/>
        </w:rPr>
      </w:pPr>
      <w:r>
        <w:fldChar w:fldCharType="begin"/>
      </w:r>
      <w:r>
        <w:instrText xml:space="preserve"> HYPERLINK \l "_Toc256000133" </w:instrText>
      </w:r>
      <w:r>
        <w:fldChar w:fldCharType="separate"/>
      </w:r>
      <w:r>
        <w:rPr>
          <w:rStyle w:val="Hyperlink"/>
        </w:rPr>
        <w:t>9.</w:t>
      </w:r>
      <w:r>
        <w:rPr>
          <w:rStyle w:val="Hyperlink"/>
        </w:rPr>
        <w:t xml:space="preserve"> </w:t>
      </w:r>
      <w:r>
        <w:rPr>
          <w:rStyle w:val="Hyperlink"/>
        </w:rPr>
        <w:t>План за оценка</w:t>
      </w:r>
      <w:r>
        <w:tab/>
      </w:r>
      <w:r>
        <w:fldChar w:fldCharType="begin"/>
      </w:r>
      <w:r>
        <w:instrText xml:space="preserve"> PAGEREF _Toc256000133 \h </w:instrText>
      </w:r>
      <w:r>
        <w:fldChar w:fldCharType="separate"/>
      </w:r>
      <w:r>
        <w:t>663</w:t>
      </w:r>
      <w:r>
        <w:fldChar w:fldCharType="end"/>
      </w:r>
      <w:r>
        <w:fldChar w:fldCharType="end"/>
      </w:r>
    </w:p>
    <w:p>
      <w:pPr>
        <w:pStyle w:val="TOC2"/>
        <w:rPr>
          <w:rFonts w:ascii="Calibri" w:hAnsi="Calibri"/>
          <w:noProof/>
          <w:sz w:val="22"/>
        </w:rPr>
      </w:pPr>
      <w:r>
        <w:fldChar w:fldCharType="begin"/>
      </w:r>
      <w:r>
        <w:instrText xml:space="preserve"> HYPERLINK \l "_Toc256000134" </w:instrText>
      </w:r>
      <w:r>
        <w:fldChar w:fldCharType="separate"/>
      </w:r>
      <w:r>
        <w:rPr>
          <w:rStyle w:val="Hyperlink"/>
        </w:rPr>
        <w:t>9.1.</w:t>
      </w:r>
      <w:r>
        <w:rPr>
          <w:rStyle w:val="Hyperlink"/>
        </w:rPr>
        <w:t xml:space="preserve"> </w:t>
      </w:r>
      <w:r>
        <w:rPr>
          <w:rStyle w:val="Hyperlink"/>
        </w:rPr>
        <w:t>Цели и задачи</w:t>
      </w:r>
      <w:r>
        <w:tab/>
      </w:r>
      <w:r>
        <w:fldChar w:fldCharType="begin"/>
      </w:r>
      <w:r>
        <w:instrText xml:space="preserve"> PAGEREF _Toc256000134 \h </w:instrText>
      </w:r>
      <w:r>
        <w:fldChar w:fldCharType="separate"/>
      </w:r>
      <w:r>
        <w:t>663</w:t>
      </w:r>
      <w:r>
        <w:fldChar w:fldCharType="end"/>
      </w:r>
      <w:r>
        <w:fldChar w:fldCharType="end"/>
      </w:r>
    </w:p>
    <w:p>
      <w:pPr>
        <w:pStyle w:val="TOC2"/>
        <w:rPr>
          <w:rFonts w:ascii="Calibri" w:hAnsi="Calibri"/>
          <w:noProof/>
          <w:sz w:val="22"/>
        </w:rPr>
      </w:pPr>
      <w:r>
        <w:fldChar w:fldCharType="begin"/>
      </w:r>
      <w:r>
        <w:instrText xml:space="preserve"> HYPERLINK \l "_Toc256000135" </w:instrText>
      </w:r>
      <w:r>
        <w:fldChar w:fldCharType="separate"/>
      </w:r>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_Toc256000135 \h </w:instrText>
      </w:r>
      <w:r>
        <w:fldChar w:fldCharType="separate"/>
      </w:r>
      <w:r>
        <w:t>664</w:t>
      </w:r>
      <w:r>
        <w:fldChar w:fldCharType="end"/>
      </w:r>
      <w:r>
        <w:fldChar w:fldCharType="end"/>
      </w:r>
    </w:p>
    <w:p>
      <w:pPr>
        <w:pStyle w:val="TOC2"/>
        <w:rPr>
          <w:rFonts w:ascii="Calibri" w:hAnsi="Calibri"/>
          <w:noProof/>
          <w:sz w:val="22"/>
        </w:rPr>
      </w:pPr>
      <w:r>
        <w:fldChar w:fldCharType="begin"/>
      </w:r>
      <w:r>
        <w:instrText xml:space="preserve"> HYPERLINK \l "_Toc256000136" </w:instrText>
      </w:r>
      <w:r>
        <w:fldChar w:fldCharType="separate"/>
      </w:r>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_Toc256000136 \h </w:instrText>
      </w:r>
      <w:r>
        <w:fldChar w:fldCharType="separate"/>
      </w:r>
      <w:r>
        <w:t>666</w:t>
      </w:r>
      <w:r>
        <w:fldChar w:fldCharType="end"/>
      </w:r>
      <w:r>
        <w:fldChar w:fldCharType="end"/>
      </w:r>
    </w:p>
    <w:p>
      <w:pPr>
        <w:pStyle w:val="TOC2"/>
        <w:rPr>
          <w:rFonts w:ascii="Calibri" w:hAnsi="Calibri"/>
          <w:noProof/>
          <w:sz w:val="22"/>
        </w:rPr>
      </w:pPr>
      <w:r>
        <w:fldChar w:fldCharType="begin"/>
      </w:r>
      <w:r>
        <w:instrText xml:space="preserve"> HYPERLINK \l "_Toc256000137" </w:instrText>
      </w:r>
      <w:r>
        <w:fldChar w:fldCharType="separate"/>
      </w:r>
      <w:r>
        <w:rPr>
          <w:rStyle w:val="Hyperlink"/>
        </w:rPr>
        <w:t>9.4.</w:t>
      </w:r>
      <w:r>
        <w:rPr>
          <w:rStyle w:val="Hyperlink"/>
        </w:rPr>
        <w:t xml:space="preserve"> </w:t>
      </w:r>
      <w:r>
        <w:rPr>
          <w:rStyle w:val="Hyperlink"/>
        </w:rPr>
        <w:t>Данни и информация</w:t>
      </w:r>
      <w:r>
        <w:tab/>
      </w:r>
      <w:r>
        <w:fldChar w:fldCharType="begin"/>
      </w:r>
      <w:r>
        <w:instrText xml:space="preserve"> PAGEREF _Toc256000137 \h </w:instrText>
      </w:r>
      <w:r>
        <w:fldChar w:fldCharType="separate"/>
      </w:r>
      <w:r>
        <w:t>670</w:t>
      </w:r>
      <w:r>
        <w:fldChar w:fldCharType="end"/>
      </w:r>
      <w:r>
        <w:fldChar w:fldCharType="end"/>
      </w:r>
    </w:p>
    <w:p>
      <w:pPr>
        <w:pStyle w:val="TOC2"/>
        <w:rPr>
          <w:rFonts w:ascii="Calibri" w:hAnsi="Calibri"/>
          <w:noProof/>
          <w:sz w:val="22"/>
        </w:rPr>
      </w:pPr>
      <w:r>
        <w:fldChar w:fldCharType="begin"/>
      </w:r>
      <w:r>
        <w:instrText xml:space="preserve"> HYPERLINK \l "_Toc256000138" </w:instrText>
      </w:r>
      <w:r>
        <w:fldChar w:fldCharType="separate"/>
      </w:r>
      <w:r>
        <w:rPr>
          <w:rStyle w:val="Hyperlink"/>
        </w:rPr>
        <w:t>9.5.</w:t>
      </w:r>
      <w:r>
        <w:rPr>
          <w:rStyle w:val="Hyperlink"/>
        </w:rPr>
        <w:t xml:space="preserve"> </w:t>
      </w:r>
      <w:r>
        <w:rPr>
          <w:rStyle w:val="Hyperlink"/>
        </w:rPr>
        <w:t>График</w:t>
      </w:r>
      <w:r>
        <w:tab/>
      </w:r>
      <w:r>
        <w:fldChar w:fldCharType="begin"/>
      </w:r>
      <w:r>
        <w:instrText xml:space="preserve"> PAGEREF _Toc256000138 \h </w:instrText>
      </w:r>
      <w:r>
        <w:fldChar w:fldCharType="separate"/>
      </w:r>
      <w:r>
        <w:t>672</w:t>
      </w:r>
      <w:r>
        <w:fldChar w:fldCharType="end"/>
      </w:r>
      <w:r>
        <w:fldChar w:fldCharType="end"/>
      </w:r>
    </w:p>
    <w:p>
      <w:pPr>
        <w:pStyle w:val="TOC2"/>
        <w:rPr>
          <w:rFonts w:ascii="Calibri" w:hAnsi="Calibri"/>
          <w:noProof/>
          <w:sz w:val="22"/>
        </w:rPr>
      </w:pPr>
      <w:r>
        <w:fldChar w:fldCharType="begin"/>
      </w:r>
      <w:r>
        <w:instrText xml:space="preserve"> HYPERLINK \l "_Toc256000139" </w:instrText>
      </w:r>
      <w:r>
        <w:fldChar w:fldCharType="separate"/>
      </w:r>
      <w:r>
        <w:rPr>
          <w:rStyle w:val="Hyperlink"/>
        </w:rPr>
        <w:t>9.6.</w:t>
      </w:r>
      <w:r>
        <w:rPr>
          <w:rStyle w:val="Hyperlink"/>
        </w:rPr>
        <w:t xml:space="preserve"> </w:t>
      </w:r>
      <w:r>
        <w:rPr>
          <w:rStyle w:val="Hyperlink"/>
        </w:rPr>
        <w:t>Комуникация</w:t>
      </w:r>
      <w:r>
        <w:tab/>
      </w:r>
      <w:r>
        <w:fldChar w:fldCharType="begin"/>
      </w:r>
      <w:r>
        <w:instrText xml:space="preserve"> PAGEREF _Toc256000139 \h </w:instrText>
      </w:r>
      <w:r>
        <w:fldChar w:fldCharType="separate"/>
      </w:r>
      <w:r>
        <w:t>674</w:t>
      </w:r>
      <w:r>
        <w:fldChar w:fldCharType="end"/>
      </w:r>
      <w:r>
        <w:fldChar w:fldCharType="end"/>
      </w:r>
    </w:p>
    <w:p>
      <w:pPr>
        <w:pStyle w:val="TOC2"/>
        <w:rPr>
          <w:rFonts w:ascii="Calibri" w:hAnsi="Calibri"/>
          <w:noProof/>
          <w:sz w:val="22"/>
        </w:rPr>
      </w:pPr>
      <w:r>
        <w:fldChar w:fldCharType="begin"/>
      </w:r>
      <w:r>
        <w:instrText xml:space="preserve"> HYPERLINK \l "_Toc256000140" </w:instrText>
      </w:r>
      <w:r>
        <w:fldChar w:fldCharType="separate"/>
      </w:r>
      <w:r>
        <w:rPr>
          <w:rStyle w:val="Hyperlink"/>
        </w:rPr>
        <w:t>9.7.</w:t>
      </w:r>
      <w:r>
        <w:rPr>
          <w:rStyle w:val="Hyperlink"/>
        </w:rPr>
        <w:t xml:space="preserve"> </w:t>
      </w:r>
      <w:r>
        <w:rPr>
          <w:rStyle w:val="Hyperlink"/>
        </w:rPr>
        <w:t>Ресурси</w:t>
      </w:r>
      <w:r>
        <w:tab/>
      </w:r>
      <w:r>
        <w:fldChar w:fldCharType="begin"/>
      </w:r>
      <w:r>
        <w:instrText xml:space="preserve"> PAGEREF _Toc256000140 \h </w:instrText>
      </w:r>
      <w:r>
        <w:fldChar w:fldCharType="separate"/>
      </w:r>
      <w:r>
        <w:t>676</w:t>
      </w:r>
      <w:r>
        <w:fldChar w:fldCharType="end"/>
      </w:r>
      <w:r>
        <w:fldChar w:fldCharType="end"/>
      </w:r>
    </w:p>
    <w:p>
      <w:pPr>
        <w:pStyle w:val="TOC1"/>
        <w:rPr>
          <w:rFonts w:ascii="Calibri" w:hAnsi="Calibri"/>
          <w:noProof/>
          <w:sz w:val="22"/>
        </w:rPr>
      </w:pPr>
      <w:r>
        <w:fldChar w:fldCharType="begin"/>
      </w:r>
      <w:r>
        <w:instrText xml:space="preserve"> HYPERLINK \l "_Toc256000141" </w:instrText>
      </w:r>
      <w:r>
        <w:fldChar w:fldCharType="separate"/>
      </w:r>
      <w:r>
        <w:rPr>
          <w:rStyle w:val="Hyperlink"/>
        </w:rPr>
        <w:t>10.</w:t>
      </w:r>
      <w:r>
        <w:rPr>
          <w:rStyle w:val="Hyperlink"/>
        </w:rPr>
        <w:t xml:space="preserve"> </w:t>
      </w:r>
      <w:r>
        <w:rPr>
          <w:rStyle w:val="Hyperlink"/>
        </w:rPr>
        <w:t>Финансов план</w:t>
      </w:r>
      <w:r>
        <w:tab/>
      </w:r>
      <w:r>
        <w:fldChar w:fldCharType="begin"/>
      </w:r>
      <w:r>
        <w:instrText xml:space="preserve"> PAGEREF _Toc256000141 \h </w:instrText>
      </w:r>
      <w:r>
        <w:fldChar w:fldCharType="separate"/>
      </w:r>
      <w:r>
        <w:t>678</w:t>
      </w:r>
      <w:r>
        <w:fldChar w:fldCharType="end"/>
      </w:r>
      <w:r>
        <w:fldChar w:fldCharType="end"/>
      </w:r>
    </w:p>
    <w:p>
      <w:pPr>
        <w:pStyle w:val="TOC2"/>
        <w:rPr>
          <w:rFonts w:ascii="Calibri" w:hAnsi="Calibri"/>
          <w:noProof/>
          <w:sz w:val="22"/>
        </w:rPr>
      </w:pPr>
      <w:r>
        <w:fldChar w:fldCharType="begin"/>
      </w:r>
      <w:r>
        <w:instrText xml:space="preserve"> HYPERLINK \l "_Toc256000142" </w:instrText>
      </w:r>
      <w:r>
        <w:fldChar w:fldCharType="separate"/>
      </w:r>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_Toc256000142 \h </w:instrText>
      </w:r>
      <w:r>
        <w:fldChar w:fldCharType="separate"/>
      </w:r>
      <w:r>
        <w:t>678</w:t>
      </w:r>
      <w:r>
        <w:fldChar w:fldCharType="end"/>
      </w:r>
      <w:r>
        <w:fldChar w:fldCharType="end"/>
      </w:r>
    </w:p>
    <w:p>
      <w:pPr>
        <w:pStyle w:val="TOC2"/>
        <w:rPr>
          <w:rFonts w:ascii="Calibri" w:hAnsi="Calibri"/>
          <w:noProof/>
          <w:sz w:val="22"/>
        </w:rPr>
      </w:pPr>
      <w:r>
        <w:fldChar w:fldCharType="begin"/>
      </w:r>
      <w:r>
        <w:instrText xml:space="preserve"> HYPERLINK \l "_Toc256000143" </w:instrText>
      </w:r>
      <w:r>
        <w:fldChar w:fldCharType="separate"/>
      </w:r>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_Toc256000143 \h </w:instrText>
      </w:r>
      <w:r>
        <w:fldChar w:fldCharType="separate"/>
      </w:r>
      <w:r>
        <w:t>680</w:t>
      </w:r>
      <w:r>
        <w:fldChar w:fldCharType="end"/>
      </w:r>
      <w:r>
        <w:fldChar w:fldCharType="end"/>
      </w:r>
    </w:p>
    <w:p>
      <w:pPr>
        <w:pStyle w:val="TOC2"/>
        <w:rPr>
          <w:rFonts w:ascii="Calibri" w:hAnsi="Calibri"/>
          <w:noProof/>
          <w:sz w:val="22"/>
        </w:rPr>
      </w:pPr>
      <w:r>
        <w:fldChar w:fldCharType="begin"/>
      </w:r>
      <w:r>
        <w:instrText xml:space="preserve"> HYPERLINK \l "_Toc256000144" </w:instrText>
      </w:r>
      <w:r>
        <w:fldChar w:fldCharType="separate"/>
      </w:r>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_Toc256000144 \h </w:instrText>
      </w:r>
      <w:r>
        <w:fldChar w:fldCharType="separate"/>
      </w:r>
      <w:r>
        <w:t>681</w:t>
      </w:r>
      <w:r>
        <w:fldChar w:fldCharType="end"/>
      </w:r>
      <w:r>
        <w:fldChar w:fldCharType="end"/>
      </w:r>
    </w:p>
    <w:p>
      <w:pPr>
        <w:pStyle w:val="TOC3"/>
        <w:rPr>
          <w:rFonts w:ascii="Calibri" w:hAnsi="Calibri"/>
          <w:noProof/>
          <w:sz w:val="22"/>
        </w:rPr>
      </w:pPr>
      <w:r>
        <w:fldChar w:fldCharType="begin"/>
      </w:r>
      <w:r>
        <w:instrText xml:space="preserve"> HYPERLINK \l "_Toc256000145" </w:instrText>
      </w:r>
      <w:r>
        <w:fldChar w:fldCharType="separate"/>
      </w:r>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_Toc256000145 \h </w:instrText>
      </w:r>
      <w:r>
        <w:fldChar w:fldCharType="separate"/>
      </w:r>
      <w:r>
        <w:t>681</w:t>
      </w:r>
      <w:r>
        <w:fldChar w:fldCharType="end"/>
      </w:r>
      <w:r>
        <w:fldChar w:fldCharType="end"/>
      </w:r>
    </w:p>
    <w:p>
      <w:pPr>
        <w:pStyle w:val="TOC3"/>
        <w:rPr>
          <w:rFonts w:ascii="Calibri" w:hAnsi="Calibri"/>
          <w:noProof/>
          <w:sz w:val="22"/>
        </w:rPr>
      </w:pPr>
      <w:r>
        <w:fldChar w:fldCharType="begin"/>
      </w:r>
      <w:r>
        <w:instrText xml:space="preserve"> HYPERLINK \l "_Toc256000146" </w:instrText>
      </w:r>
      <w:r>
        <w:fldChar w:fldCharType="separate"/>
      </w:r>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_Toc256000146 \h </w:instrText>
      </w:r>
      <w:r>
        <w:fldChar w:fldCharType="separate"/>
      </w:r>
      <w:r>
        <w:t>683</w:t>
      </w:r>
      <w:r>
        <w:fldChar w:fldCharType="end"/>
      </w:r>
      <w:r>
        <w:fldChar w:fldCharType="end"/>
      </w:r>
    </w:p>
    <w:p>
      <w:pPr>
        <w:pStyle w:val="TOC3"/>
        <w:rPr>
          <w:rFonts w:ascii="Calibri" w:hAnsi="Calibri"/>
          <w:noProof/>
          <w:sz w:val="22"/>
        </w:rPr>
      </w:pPr>
      <w:r>
        <w:fldChar w:fldCharType="begin"/>
      </w:r>
      <w:r>
        <w:instrText xml:space="preserve"> HYPERLINK \l "_Toc256000147" </w:instrText>
      </w:r>
      <w:r>
        <w:fldChar w:fldCharType="separate"/>
      </w:r>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_Toc256000147 \h </w:instrText>
      </w:r>
      <w:r>
        <w:fldChar w:fldCharType="separate"/>
      </w:r>
      <w:r>
        <w:t>685</w:t>
      </w:r>
      <w:r>
        <w:fldChar w:fldCharType="end"/>
      </w:r>
      <w:r>
        <w:fldChar w:fldCharType="end"/>
      </w:r>
    </w:p>
    <w:p>
      <w:pPr>
        <w:pStyle w:val="TOC3"/>
        <w:rPr>
          <w:rFonts w:ascii="Calibri" w:hAnsi="Calibri"/>
          <w:noProof/>
          <w:sz w:val="22"/>
        </w:rPr>
      </w:pPr>
      <w:r>
        <w:fldChar w:fldCharType="begin"/>
      </w:r>
      <w:r>
        <w:instrText xml:space="preserve"> HYPERLINK \l "_Toc256000148" </w:instrText>
      </w:r>
      <w:r>
        <w:fldChar w:fldCharType="separate"/>
      </w:r>
      <w:r>
        <w:rPr>
          <w:rStyle w:val="Hyperlink"/>
        </w:rPr>
        <w:t>10.3.4.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_Toc256000148 \h </w:instrText>
      </w:r>
      <w:r>
        <w:fldChar w:fldCharType="separate"/>
      </w:r>
      <w:r>
        <w:t>687</w:t>
      </w:r>
      <w:r>
        <w:fldChar w:fldCharType="end"/>
      </w:r>
      <w:r>
        <w:fldChar w:fldCharType="end"/>
      </w:r>
    </w:p>
    <w:p>
      <w:pPr>
        <w:pStyle w:val="TOC3"/>
        <w:rPr>
          <w:rFonts w:ascii="Calibri" w:hAnsi="Calibri"/>
          <w:noProof/>
          <w:sz w:val="22"/>
        </w:rPr>
      </w:pPr>
      <w:r>
        <w:fldChar w:fldCharType="begin"/>
      </w:r>
      <w:r>
        <w:instrText xml:space="preserve"> HYPERLINK \l "_Toc256000149" </w:instrText>
      </w:r>
      <w:r>
        <w:fldChar w:fldCharType="separate"/>
      </w:r>
      <w:r>
        <w:rPr>
          <w:rStyle w:val="Hyperlink"/>
        </w:rPr>
        <w:t>10.3.5.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_Toc256000149 \h </w:instrText>
      </w:r>
      <w:r>
        <w:fldChar w:fldCharType="separate"/>
      </w:r>
      <w:r>
        <w:t>689</w:t>
      </w:r>
      <w:r>
        <w:fldChar w:fldCharType="end"/>
      </w:r>
      <w:r>
        <w:fldChar w:fldCharType="end"/>
      </w:r>
    </w:p>
    <w:p>
      <w:pPr>
        <w:pStyle w:val="TOC3"/>
        <w:rPr>
          <w:rFonts w:ascii="Calibri" w:hAnsi="Calibri"/>
          <w:noProof/>
          <w:sz w:val="22"/>
        </w:rPr>
      </w:pPr>
      <w:r>
        <w:fldChar w:fldCharType="begin"/>
      </w:r>
      <w:r>
        <w:instrText xml:space="preserve"> HYPERLINK \l "_Toc256000150" </w:instrText>
      </w:r>
      <w:r>
        <w:fldChar w:fldCharType="separate"/>
      </w:r>
      <w:r>
        <w:rPr>
          <w:rStyle w:val="Hyperlink"/>
        </w:rPr>
        <w:t>10.3.6.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_Toc256000150 \h </w:instrText>
      </w:r>
      <w:r>
        <w:fldChar w:fldCharType="separate"/>
      </w:r>
      <w:r>
        <w:t>690</w:t>
      </w:r>
      <w:r>
        <w:fldChar w:fldCharType="end"/>
      </w:r>
      <w:r>
        <w:fldChar w:fldCharType="end"/>
      </w:r>
    </w:p>
    <w:p>
      <w:pPr>
        <w:pStyle w:val="TOC3"/>
        <w:rPr>
          <w:rFonts w:ascii="Calibri" w:hAnsi="Calibri"/>
          <w:noProof/>
          <w:sz w:val="22"/>
        </w:rPr>
      </w:pPr>
      <w:r>
        <w:fldChar w:fldCharType="begin"/>
      </w:r>
      <w:r>
        <w:instrText xml:space="preserve"> HYPERLINK \l "_Toc256000151" </w:instrText>
      </w:r>
      <w:r>
        <w:fldChar w:fldCharType="separate"/>
      </w:r>
      <w:r>
        <w:rPr>
          <w:rStyle w:val="Hyperlink"/>
        </w:rPr>
        <w:t>10.3.7.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_Toc256000151 \h </w:instrText>
      </w:r>
      <w:r>
        <w:fldChar w:fldCharType="separate"/>
      </w:r>
      <w:r>
        <w:t>692</w:t>
      </w:r>
      <w:r>
        <w:fldChar w:fldCharType="end"/>
      </w:r>
      <w:r>
        <w:fldChar w:fldCharType="end"/>
      </w:r>
    </w:p>
    <w:p>
      <w:pPr>
        <w:pStyle w:val="TOC3"/>
        <w:rPr>
          <w:rFonts w:ascii="Calibri" w:hAnsi="Calibri"/>
          <w:noProof/>
          <w:sz w:val="22"/>
        </w:rPr>
      </w:pPr>
      <w:r>
        <w:fldChar w:fldCharType="begin"/>
      </w:r>
      <w:r>
        <w:instrText xml:space="preserve"> HYPERLINK \l "_Toc256000152" </w:instrText>
      </w:r>
      <w:r>
        <w:fldChar w:fldCharType="separate"/>
      </w:r>
      <w:r>
        <w:rPr>
          <w:rStyle w:val="Hyperlink"/>
        </w:rPr>
        <w:t>10.3.8.</w:t>
      </w:r>
      <w:r>
        <w:rPr>
          <w:rStyle w:val="Hyperlink"/>
        </w:rPr>
        <w:t xml:space="preserve"> </w:t>
      </w:r>
      <w:r>
        <w:rPr>
          <w:rStyle w:val="Hyperlink"/>
        </w:rPr>
        <w:t>M10 — Агроекология и климат (член 28)</w:t>
      </w:r>
      <w:r>
        <w:tab/>
      </w:r>
      <w:r>
        <w:fldChar w:fldCharType="begin"/>
      </w:r>
      <w:r>
        <w:instrText xml:space="preserve"> PAGEREF _Toc256000152 \h </w:instrText>
      </w:r>
      <w:r>
        <w:fldChar w:fldCharType="separate"/>
      </w:r>
      <w:r>
        <w:t>694</w:t>
      </w:r>
      <w:r>
        <w:fldChar w:fldCharType="end"/>
      </w:r>
      <w:r>
        <w:fldChar w:fldCharType="end"/>
      </w:r>
    </w:p>
    <w:p>
      <w:pPr>
        <w:pStyle w:val="TOC3"/>
        <w:rPr>
          <w:rFonts w:ascii="Calibri" w:hAnsi="Calibri"/>
          <w:noProof/>
          <w:sz w:val="22"/>
        </w:rPr>
      </w:pPr>
      <w:r>
        <w:fldChar w:fldCharType="begin"/>
      </w:r>
      <w:r>
        <w:instrText xml:space="preserve"> HYPERLINK \l "_Toc256000153" </w:instrText>
      </w:r>
      <w:r>
        <w:fldChar w:fldCharType="separate"/>
      </w:r>
      <w:r>
        <w:rPr>
          <w:rStyle w:val="Hyperlink"/>
        </w:rPr>
        <w:t>10.3.9.</w:t>
      </w:r>
      <w:r>
        <w:rPr>
          <w:rStyle w:val="Hyperlink"/>
        </w:rPr>
        <w:t xml:space="preserve"> </w:t>
      </w:r>
      <w:r>
        <w:rPr>
          <w:rStyle w:val="Hyperlink"/>
        </w:rPr>
        <w:t>М11 — Биологично земеделие (член 29)</w:t>
      </w:r>
      <w:r>
        <w:tab/>
      </w:r>
      <w:r>
        <w:fldChar w:fldCharType="begin"/>
      </w:r>
      <w:r>
        <w:instrText xml:space="preserve"> PAGEREF _Toc256000153 \h </w:instrText>
      </w:r>
      <w:r>
        <w:fldChar w:fldCharType="separate"/>
      </w:r>
      <w:r>
        <w:t>696</w:t>
      </w:r>
      <w:r>
        <w:fldChar w:fldCharType="end"/>
      </w:r>
      <w:r>
        <w:fldChar w:fldCharType="end"/>
      </w:r>
    </w:p>
    <w:p>
      <w:pPr>
        <w:pStyle w:val="TOC3"/>
        <w:rPr>
          <w:rFonts w:ascii="Calibri" w:hAnsi="Calibri"/>
          <w:noProof/>
          <w:sz w:val="22"/>
        </w:rPr>
      </w:pPr>
      <w:r>
        <w:fldChar w:fldCharType="begin"/>
      </w:r>
      <w:r>
        <w:instrText xml:space="preserve"> HYPERLINK \l "_Toc256000154" </w:instrText>
      </w:r>
      <w:r>
        <w:fldChar w:fldCharType="separate"/>
      </w:r>
      <w:r>
        <w:rPr>
          <w:rStyle w:val="Hyperlink"/>
        </w:rPr>
        <w:t>10.3.10.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_Toc256000154 \h </w:instrText>
      </w:r>
      <w:r>
        <w:fldChar w:fldCharType="separate"/>
      </w:r>
      <w:r>
        <w:t>698</w:t>
      </w:r>
      <w:r>
        <w:fldChar w:fldCharType="end"/>
      </w:r>
      <w:r>
        <w:fldChar w:fldCharType="end"/>
      </w:r>
    </w:p>
    <w:p>
      <w:pPr>
        <w:pStyle w:val="TOC3"/>
        <w:rPr>
          <w:rFonts w:ascii="Calibri" w:hAnsi="Calibri"/>
          <w:noProof/>
          <w:sz w:val="22"/>
        </w:rPr>
      </w:pPr>
      <w:r>
        <w:fldChar w:fldCharType="begin"/>
      </w:r>
      <w:r>
        <w:instrText xml:space="preserve"> HYPERLINK \l "_Toc256000155" </w:instrText>
      </w:r>
      <w:r>
        <w:fldChar w:fldCharType="separate"/>
      </w:r>
      <w:r>
        <w:rPr>
          <w:rStyle w:val="Hyperlink"/>
        </w:rPr>
        <w:t>10.3.11.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_Toc256000155 \h </w:instrText>
      </w:r>
      <w:r>
        <w:fldChar w:fldCharType="separate"/>
      </w:r>
      <w:r>
        <w:t>700</w:t>
      </w:r>
      <w:r>
        <w:fldChar w:fldCharType="end"/>
      </w:r>
      <w:r>
        <w:fldChar w:fldCharType="end"/>
      </w:r>
    </w:p>
    <w:p>
      <w:pPr>
        <w:pStyle w:val="TOC3"/>
        <w:rPr>
          <w:rFonts w:ascii="Calibri" w:hAnsi="Calibri"/>
          <w:noProof/>
          <w:sz w:val="22"/>
        </w:rPr>
      </w:pPr>
      <w:r>
        <w:fldChar w:fldCharType="begin"/>
      </w:r>
      <w:r>
        <w:instrText xml:space="preserve"> HYPERLINK \l "_Toc256000156" </w:instrText>
      </w:r>
      <w:r>
        <w:fldChar w:fldCharType="separate"/>
      </w:r>
      <w:r>
        <w:rPr>
          <w:rStyle w:val="Hyperlink"/>
        </w:rPr>
        <w:t>10.3.12.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_Toc256000156 \h </w:instrText>
      </w:r>
      <w:r>
        <w:fldChar w:fldCharType="separate"/>
      </w:r>
      <w:r>
        <w:t>702</w:t>
      </w:r>
      <w:r>
        <w:fldChar w:fldCharType="end"/>
      </w:r>
      <w:r>
        <w:fldChar w:fldCharType="end"/>
      </w:r>
    </w:p>
    <w:p>
      <w:pPr>
        <w:pStyle w:val="TOC3"/>
        <w:rPr>
          <w:rFonts w:ascii="Calibri" w:hAnsi="Calibri"/>
          <w:noProof/>
          <w:sz w:val="22"/>
        </w:rPr>
      </w:pPr>
      <w:r>
        <w:fldChar w:fldCharType="begin"/>
      </w:r>
      <w:r>
        <w:instrText xml:space="preserve"> HYPERLINK \l "_Toc256000157" </w:instrText>
      </w:r>
      <w:r>
        <w:fldChar w:fldCharType="separate"/>
      </w:r>
      <w:r>
        <w:rPr>
          <w:rStyle w:val="Hyperlink"/>
        </w:rPr>
        <w:t>10.3.13.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_Toc256000157 \h </w:instrText>
      </w:r>
      <w:r>
        <w:fldChar w:fldCharType="separate"/>
      </w:r>
      <w:r>
        <w:t>703</w:t>
      </w:r>
      <w:r>
        <w:fldChar w:fldCharType="end"/>
      </w:r>
      <w:r>
        <w:fldChar w:fldCharType="end"/>
      </w:r>
    </w:p>
    <w:p>
      <w:pPr>
        <w:pStyle w:val="TOC3"/>
        <w:rPr>
          <w:rFonts w:ascii="Calibri" w:hAnsi="Calibri"/>
          <w:noProof/>
          <w:sz w:val="22"/>
        </w:rPr>
      </w:pPr>
      <w:r>
        <w:fldChar w:fldCharType="begin"/>
      </w:r>
      <w:r>
        <w:instrText xml:space="preserve"> HYPERLINK \l "_Toc256000158" </w:instrText>
      </w:r>
      <w:r>
        <w:fldChar w:fldCharType="separate"/>
      </w:r>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_Toc256000158 \h </w:instrText>
      </w:r>
      <w:r>
        <w:fldChar w:fldCharType="separate"/>
      </w:r>
      <w:r>
        <w:t>705</w:t>
      </w:r>
      <w:r>
        <w:fldChar w:fldCharType="end"/>
      </w:r>
      <w:r>
        <w:fldChar w:fldCharType="end"/>
      </w:r>
    </w:p>
    <w:p>
      <w:pPr>
        <w:pStyle w:val="TOC3"/>
        <w:rPr>
          <w:rFonts w:ascii="Calibri" w:hAnsi="Calibri"/>
          <w:noProof/>
          <w:sz w:val="22"/>
        </w:rPr>
      </w:pPr>
      <w:r>
        <w:fldChar w:fldCharType="begin"/>
      </w:r>
      <w:r>
        <w:instrText xml:space="preserve"> HYPERLINK \l "_Toc256000159" </w:instrText>
      </w:r>
      <w:r>
        <w:fldChar w:fldCharType="separate"/>
      </w:r>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_Toc256000159 \h </w:instrText>
      </w:r>
      <w:r>
        <w:fldChar w:fldCharType="separate"/>
      </w:r>
      <w:r>
        <w:t>707</w:t>
      </w:r>
      <w:r>
        <w:fldChar w:fldCharType="end"/>
      </w:r>
      <w:r>
        <w:fldChar w:fldCharType="end"/>
      </w:r>
    </w:p>
    <w:p>
      <w:pPr>
        <w:pStyle w:val="TOC3"/>
        <w:rPr>
          <w:rFonts w:ascii="Calibri" w:hAnsi="Calibri"/>
          <w:noProof/>
          <w:sz w:val="22"/>
        </w:rPr>
      </w:pPr>
      <w:r>
        <w:fldChar w:fldCharType="begin"/>
      </w:r>
      <w:r>
        <w:instrText xml:space="preserve"> HYPERLINK \l "_Toc256000160" </w:instrText>
      </w:r>
      <w:r>
        <w:fldChar w:fldCharType="separate"/>
      </w:r>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_Toc256000160 \h </w:instrText>
      </w:r>
      <w:r>
        <w:fldChar w:fldCharType="separate"/>
      </w:r>
      <w:r>
        <w:t>709</w:t>
      </w:r>
      <w:r>
        <w:fldChar w:fldCharType="end"/>
      </w:r>
      <w:r>
        <w:fldChar w:fldCharType="end"/>
      </w:r>
    </w:p>
    <w:p>
      <w:pPr>
        <w:pStyle w:val="TOC2"/>
        <w:rPr>
          <w:rFonts w:ascii="Calibri" w:hAnsi="Calibri"/>
          <w:noProof/>
          <w:sz w:val="22"/>
        </w:rPr>
      </w:pPr>
      <w:r>
        <w:fldChar w:fldCharType="begin"/>
      </w:r>
      <w:r>
        <w:instrText xml:space="preserve"> HYPERLINK \l "_Toc256000161" </w:instrText>
      </w:r>
      <w:r>
        <w:fldChar w:fldCharType="separate"/>
      </w:r>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_Toc256000161 \h </w:instrText>
      </w:r>
      <w:r>
        <w:fldChar w:fldCharType="separate"/>
      </w:r>
      <w:r>
        <w:t>710</w:t>
      </w:r>
      <w:r>
        <w:fldChar w:fldCharType="end"/>
      </w:r>
      <w:r>
        <w:fldChar w:fldCharType="end"/>
      </w:r>
    </w:p>
    <w:p>
      <w:pPr>
        <w:pStyle w:val="TOC1"/>
        <w:rPr>
          <w:rFonts w:ascii="Calibri" w:hAnsi="Calibri"/>
          <w:noProof/>
          <w:sz w:val="22"/>
        </w:rPr>
      </w:pPr>
      <w:r>
        <w:fldChar w:fldCharType="begin"/>
      </w:r>
      <w:r>
        <w:instrText xml:space="preserve"> HYPERLINK \l "_Toc256000162" </w:instrText>
      </w:r>
      <w:r>
        <w:fldChar w:fldCharType="separate"/>
      </w:r>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_Toc256000162 \h </w:instrText>
      </w:r>
      <w:r>
        <w:fldChar w:fldCharType="separate"/>
      </w:r>
      <w:r>
        <w:t>712</w:t>
      </w:r>
      <w:r>
        <w:fldChar w:fldCharType="end"/>
      </w:r>
      <w:r>
        <w:fldChar w:fldCharType="end"/>
      </w:r>
    </w:p>
    <w:p>
      <w:pPr>
        <w:pStyle w:val="TOC2"/>
        <w:rPr>
          <w:rFonts w:ascii="Calibri" w:hAnsi="Calibri"/>
          <w:noProof/>
          <w:sz w:val="22"/>
        </w:rPr>
      </w:pPr>
      <w:r>
        <w:fldChar w:fldCharType="begin"/>
      </w:r>
      <w:r>
        <w:instrText xml:space="preserve"> HYPERLINK \l "_Toc256000163" </w:instrText>
      </w:r>
      <w:r>
        <w:fldChar w:fldCharType="separate"/>
      </w:r>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_Toc256000163 \h </w:instrText>
      </w:r>
      <w:r>
        <w:fldChar w:fldCharType="separate"/>
      </w:r>
      <w:r>
        <w:t>712</w:t>
      </w:r>
      <w:r>
        <w:fldChar w:fldCharType="end"/>
      </w:r>
      <w:r>
        <w:fldChar w:fldCharType="end"/>
      </w:r>
    </w:p>
    <w:p>
      <w:pPr>
        <w:pStyle w:val="TOC3"/>
        <w:rPr>
          <w:rFonts w:ascii="Calibri" w:hAnsi="Calibri"/>
          <w:noProof/>
          <w:sz w:val="22"/>
        </w:rPr>
      </w:pPr>
      <w:r>
        <w:fldChar w:fldCharType="begin"/>
      </w:r>
      <w:r>
        <w:instrText xml:space="preserve"> HYPERLINK \l "_Toc256000164" </w:instrText>
      </w:r>
      <w:r>
        <w:fldChar w:fldCharType="separate"/>
      </w:r>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_Toc256000164 \h </w:instrText>
      </w:r>
      <w:r>
        <w:fldChar w:fldCharType="separate"/>
      </w:r>
      <w:r>
        <w:t>712</w:t>
      </w:r>
      <w:r>
        <w:fldChar w:fldCharType="end"/>
      </w:r>
      <w:r>
        <w:fldChar w:fldCharType="end"/>
      </w:r>
    </w:p>
    <w:p>
      <w:pPr>
        <w:pStyle w:val="TOC3"/>
        <w:rPr>
          <w:rFonts w:ascii="Calibri" w:hAnsi="Calibri"/>
          <w:noProof/>
          <w:sz w:val="22"/>
        </w:rPr>
      </w:pPr>
      <w:r>
        <w:fldChar w:fldCharType="begin"/>
      </w:r>
      <w:r>
        <w:instrText xml:space="preserve"> HYPERLINK \l "_Toc256000165" </w:instrText>
      </w:r>
      <w:r>
        <w:fldChar w:fldCharType="separate"/>
      </w:r>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_Toc256000165 \h </w:instrText>
      </w:r>
      <w:r>
        <w:fldChar w:fldCharType="separate"/>
      </w:r>
      <w:r>
        <w:t>715</w:t>
      </w:r>
      <w:r>
        <w:fldChar w:fldCharType="end"/>
      </w:r>
      <w:r>
        <w:fldChar w:fldCharType="end"/>
      </w:r>
    </w:p>
    <w:p>
      <w:pPr>
        <w:pStyle w:val="TOC3"/>
        <w:rPr>
          <w:rFonts w:ascii="Calibri" w:hAnsi="Calibri"/>
          <w:noProof/>
          <w:sz w:val="22"/>
        </w:rPr>
      </w:pPr>
      <w:r>
        <w:fldChar w:fldCharType="begin"/>
      </w:r>
      <w:r>
        <w:instrText xml:space="preserve"> HYPERLINK \l "_Toc256000166" </w:instrText>
      </w:r>
      <w:r>
        <w:fldChar w:fldCharType="separate"/>
      </w:r>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_Toc256000166 \h </w:instrText>
      </w:r>
      <w:r>
        <w:fldChar w:fldCharType="separate"/>
      </w:r>
      <w:r>
        <w:t>719</w:t>
      </w:r>
      <w:r>
        <w:fldChar w:fldCharType="end"/>
      </w:r>
      <w:r>
        <w:fldChar w:fldCharType="end"/>
      </w:r>
    </w:p>
    <w:p>
      <w:pPr>
        <w:pStyle w:val="TOC3"/>
        <w:rPr>
          <w:rFonts w:ascii="Calibri" w:hAnsi="Calibri"/>
          <w:noProof/>
          <w:sz w:val="22"/>
        </w:rPr>
      </w:pPr>
      <w:r>
        <w:fldChar w:fldCharType="begin"/>
      </w:r>
      <w:r>
        <w:instrText xml:space="preserve"> HYPERLINK \l "_Toc256000167" </w:instrText>
      </w:r>
      <w:r>
        <w:fldChar w:fldCharType="separate"/>
      </w:r>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_Toc256000167 \h </w:instrText>
      </w:r>
      <w:r>
        <w:fldChar w:fldCharType="separate"/>
      </w:r>
      <w:r>
        <w:t>722</w:t>
      </w:r>
      <w:r>
        <w:fldChar w:fldCharType="end"/>
      </w:r>
      <w:r>
        <w:fldChar w:fldCharType="end"/>
      </w:r>
    </w:p>
    <w:p>
      <w:pPr>
        <w:pStyle w:val="TOC3"/>
        <w:rPr>
          <w:rFonts w:ascii="Calibri" w:hAnsi="Calibri"/>
          <w:noProof/>
          <w:sz w:val="22"/>
        </w:rPr>
      </w:pPr>
      <w:r>
        <w:fldChar w:fldCharType="begin"/>
      </w:r>
      <w:r>
        <w:instrText xml:space="preserve"> HYPERLINK \l "_Toc256000168" </w:instrText>
      </w:r>
      <w:r>
        <w:fldChar w:fldCharType="separate"/>
      </w:r>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_Toc256000168 \h </w:instrText>
      </w:r>
      <w:r>
        <w:fldChar w:fldCharType="separate"/>
      </w:r>
      <w:r>
        <w:t>727</w:t>
      </w:r>
      <w:r>
        <w:fldChar w:fldCharType="end"/>
      </w:r>
      <w:r>
        <w:fldChar w:fldCharType="end"/>
      </w:r>
    </w:p>
    <w:p>
      <w:pPr>
        <w:pStyle w:val="TOC3"/>
        <w:rPr>
          <w:rFonts w:ascii="Calibri" w:hAnsi="Calibri"/>
          <w:noProof/>
          <w:sz w:val="22"/>
        </w:rPr>
      </w:pPr>
      <w:r>
        <w:fldChar w:fldCharType="begin"/>
      </w:r>
      <w:r>
        <w:instrText xml:space="preserve"> HYPERLINK \l "_Toc256000169" </w:instrText>
      </w:r>
      <w:r>
        <w:fldChar w:fldCharType="separate"/>
      </w:r>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_Toc256000169 \h </w:instrText>
      </w:r>
      <w:r>
        <w:fldChar w:fldCharType="separate"/>
      </w:r>
      <w:r>
        <w:t>733</w:t>
      </w:r>
      <w:r>
        <w:fldChar w:fldCharType="end"/>
      </w:r>
      <w:r>
        <w:fldChar w:fldCharType="end"/>
      </w:r>
    </w:p>
    <w:p>
      <w:pPr>
        <w:pStyle w:val="TOC2"/>
        <w:rPr>
          <w:rFonts w:ascii="Calibri" w:hAnsi="Calibri"/>
          <w:noProof/>
          <w:sz w:val="22"/>
        </w:rPr>
      </w:pPr>
      <w:r>
        <w:fldChar w:fldCharType="begin"/>
      </w:r>
      <w:r>
        <w:instrText xml:space="preserve"> HYPERLINK \l "_Toc256000170" </w:instrText>
      </w:r>
      <w:r>
        <w:fldChar w:fldCharType="separate"/>
      </w:r>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_Toc256000170 \h </w:instrText>
      </w:r>
      <w:r>
        <w:fldChar w:fldCharType="separate"/>
      </w:r>
      <w:r>
        <w:t>738</w:t>
      </w:r>
      <w:r>
        <w:fldChar w:fldCharType="end"/>
      </w:r>
      <w:r>
        <w:fldChar w:fldCharType="end"/>
      </w:r>
    </w:p>
    <w:p>
      <w:pPr>
        <w:pStyle w:val="TOC2"/>
        <w:rPr>
          <w:rFonts w:ascii="Calibri" w:hAnsi="Calibri"/>
          <w:noProof/>
          <w:sz w:val="22"/>
        </w:rPr>
      </w:pPr>
      <w:r>
        <w:fldChar w:fldCharType="begin"/>
      </w:r>
      <w:r>
        <w:instrText xml:space="preserve"> HYPERLINK \l "_Toc256000171" </w:instrText>
      </w:r>
      <w:r>
        <w:fldChar w:fldCharType="separate"/>
      </w:r>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_Toc256000171 \h </w:instrText>
      </w:r>
      <w:r>
        <w:fldChar w:fldCharType="separate"/>
      </w:r>
      <w:r>
        <w:t>742</w:t>
      </w:r>
      <w:r>
        <w:fldChar w:fldCharType="end"/>
      </w:r>
      <w:r>
        <w:fldChar w:fldCharType="end"/>
      </w:r>
    </w:p>
    <w:p>
      <w:pPr>
        <w:pStyle w:val="TOC2"/>
        <w:rPr>
          <w:rFonts w:ascii="Calibri" w:hAnsi="Calibri"/>
          <w:noProof/>
          <w:sz w:val="22"/>
        </w:rPr>
      </w:pPr>
      <w:r>
        <w:fldChar w:fldCharType="begin"/>
      </w:r>
      <w:r>
        <w:instrText xml:space="preserve"> HYPERLINK \l "_Toc256000172" </w:instrText>
      </w:r>
      <w:r>
        <w:fldChar w:fldCharType="separate"/>
      </w:r>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_Toc256000172 \h </w:instrText>
      </w:r>
      <w:r>
        <w:fldChar w:fldCharType="separate"/>
      </w:r>
      <w:r>
        <w:t>745</w:t>
      </w:r>
      <w:r>
        <w:fldChar w:fldCharType="end"/>
      </w:r>
      <w:r>
        <w:fldChar w:fldCharType="end"/>
      </w:r>
    </w:p>
    <w:p>
      <w:pPr>
        <w:pStyle w:val="TOC3"/>
        <w:rPr>
          <w:rFonts w:ascii="Calibri" w:hAnsi="Calibri"/>
          <w:noProof/>
          <w:sz w:val="22"/>
        </w:rPr>
      </w:pPr>
      <w:r>
        <w:fldChar w:fldCharType="begin"/>
      </w:r>
      <w:r>
        <w:instrText xml:space="preserve"> HYPERLINK \l "_Toc256000173" </w:instrText>
      </w:r>
      <w:r>
        <w:fldChar w:fldCharType="separate"/>
      </w:r>
      <w:r>
        <w:rPr>
          <w:rStyle w:val="Hyperlink"/>
        </w:rPr>
        <w:t>11.4.1.</w:t>
      </w:r>
      <w:r>
        <w:rPr>
          <w:rStyle w:val="Hyperlink"/>
        </w:rPr>
        <w:t xml:space="preserve"> </w:t>
      </w:r>
      <w:r>
        <w:rPr>
          <w:rStyle w:val="Hyperlink"/>
        </w:rPr>
        <w:t>Земеделска земя</w:t>
      </w:r>
      <w:r>
        <w:tab/>
      </w:r>
      <w:r>
        <w:fldChar w:fldCharType="begin"/>
      </w:r>
      <w:r>
        <w:instrText xml:space="preserve"> PAGEREF _Toc256000173 \h </w:instrText>
      </w:r>
      <w:r>
        <w:fldChar w:fldCharType="separate"/>
      </w:r>
      <w:r>
        <w:t>745</w:t>
      </w:r>
      <w:r>
        <w:fldChar w:fldCharType="end"/>
      </w:r>
      <w:r>
        <w:fldChar w:fldCharType="end"/>
      </w:r>
    </w:p>
    <w:p>
      <w:pPr>
        <w:pStyle w:val="TOC3"/>
        <w:rPr>
          <w:rFonts w:ascii="Calibri" w:hAnsi="Calibri"/>
          <w:noProof/>
          <w:sz w:val="22"/>
        </w:rPr>
      </w:pPr>
      <w:r>
        <w:fldChar w:fldCharType="begin"/>
      </w:r>
      <w:r>
        <w:instrText xml:space="preserve"> HYPERLINK \l "_Toc256000174" </w:instrText>
      </w:r>
      <w:r>
        <w:fldChar w:fldCharType="separate"/>
      </w:r>
      <w:r>
        <w:rPr>
          <w:rStyle w:val="Hyperlink"/>
        </w:rPr>
        <w:t>11.4.2.</w:t>
      </w:r>
      <w:r>
        <w:rPr>
          <w:rStyle w:val="Hyperlink"/>
        </w:rPr>
        <w:t xml:space="preserve"> </w:t>
      </w:r>
      <w:r>
        <w:rPr>
          <w:rStyle w:val="Hyperlink"/>
        </w:rPr>
        <w:t>Горски площи</w:t>
      </w:r>
      <w:r>
        <w:tab/>
      </w:r>
      <w:r>
        <w:fldChar w:fldCharType="begin"/>
      </w:r>
      <w:r>
        <w:instrText xml:space="preserve"> PAGEREF _Toc256000174 \h </w:instrText>
      </w:r>
      <w:r>
        <w:fldChar w:fldCharType="separate"/>
      </w:r>
      <w:r>
        <w:t>749</w:t>
      </w:r>
      <w:r>
        <w:fldChar w:fldCharType="end"/>
      </w:r>
      <w:r>
        <w:fldChar w:fldCharType="end"/>
      </w:r>
    </w:p>
    <w:p>
      <w:pPr>
        <w:pStyle w:val="TOC2"/>
        <w:rPr>
          <w:rFonts w:ascii="Calibri" w:hAnsi="Calibri"/>
          <w:noProof/>
          <w:sz w:val="22"/>
        </w:rPr>
      </w:pPr>
      <w:r>
        <w:fldChar w:fldCharType="begin"/>
      </w:r>
      <w:r>
        <w:instrText xml:space="preserve"> HYPERLINK \l "_Toc256000175" </w:instrText>
      </w:r>
      <w:r>
        <w:fldChar w:fldCharType="separate"/>
      </w:r>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_Toc256000175 \h </w:instrText>
      </w:r>
      <w:r>
        <w:fldChar w:fldCharType="separate"/>
      </w:r>
      <w:r>
        <w:t>750</w:t>
      </w:r>
      <w:r>
        <w:fldChar w:fldCharType="end"/>
      </w:r>
      <w:r>
        <w:fldChar w:fldCharType="end"/>
      </w:r>
    </w:p>
    <w:p>
      <w:pPr>
        <w:pStyle w:val="TOC1"/>
        <w:rPr>
          <w:rFonts w:ascii="Calibri" w:hAnsi="Calibri"/>
          <w:noProof/>
          <w:sz w:val="22"/>
        </w:rPr>
      </w:pPr>
      <w:r>
        <w:fldChar w:fldCharType="begin"/>
      </w:r>
      <w:r>
        <w:instrText xml:space="preserve"> HYPERLINK \l "_Toc256000176" </w:instrText>
      </w:r>
      <w:r>
        <w:fldChar w:fldCharType="separate"/>
      </w:r>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_Toc256000176 \h </w:instrText>
      </w:r>
      <w:r>
        <w:fldChar w:fldCharType="separate"/>
      </w:r>
      <w:r>
        <w:t>751</w:t>
      </w:r>
      <w:r>
        <w:fldChar w:fldCharType="end"/>
      </w:r>
      <w:r>
        <w:fldChar w:fldCharType="end"/>
      </w:r>
    </w:p>
    <w:p>
      <w:pPr>
        <w:pStyle w:val="TOC2"/>
        <w:rPr>
          <w:rFonts w:ascii="Calibri" w:hAnsi="Calibri"/>
          <w:noProof/>
          <w:sz w:val="22"/>
        </w:rPr>
      </w:pPr>
      <w:r>
        <w:fldChar w:fldCharType="begin"/>
      </w:r>
      <w:r>
        <w:instrText xml:space="preserve"> HYPERLINK \l "_Toc256000177" </w:instrText>
      </w:r>
      <w:r>
        <w:fldChar w:fldCharType="separate"/>
      </w:r>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_Toc256000177 \h </w:instrText>
      </w:r>
      <w:r>
        <w:fldChar w:fldCharType="separate"/>
      </w:r>
      <w:r>
        <w:t>751</w:t>
      </w:r>
      <w:r>
        <w:fldChar w:fldCharType="end"/>
      </w:r>
      <w:r>
        <w:fldChar w:fldCharType="end"/>
      </w:r>
    </w:p>
    <w:p>
      <w:pPr>
        <w:pStyle w:val="TOC2"/>
        <w:rPr>
          <w:rFonts w:ascii="Calibri" w:hAnsi="Calibri"/>
          <w:noProof/>
          <w:sz w:val="22"/>
        </w:rPr>
      </w:pPr>
      <w:r>
        <w:fldChar w:fldCharType="begin"/>
      </w:r>
      <w:r>
        <w:instrText xml:space="preserve"> HYPERLINK \l "_Toc256000178" </w:instrText>
      </w:r>
      <w:r>
        <w:fldChar w:fldCharType="separate"/>
      </w:r>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_Toc256000178 \h </w:instrText>
      </w:r>
      <w:r>
        <w:fldChar w:fldCharType="separate"/>
      </w:r>
      <w:r>
        <w:t>752</w:t>
      </w:r>
      <w:r>
        <w:fldChar w:fldCharType="end"/>
      </w:r>
      <w:r>
        <w:fldChar w:fldCharType="end"/>
      </w:r>
    </w:p>
    <w:p>
      <w:pPr>
        <w:pStyle w:val="TOC2"/>
        <w:rPr>
          <w:rFonts w:ascii="Calibri" w:hAnsi="Calibri"/>
          <w:noProof/>
          <w:sz w:val="22"/>
        </w:rPr>
      </w:pPr>
      <w:r>
        <w:fldChar w:fldCharType="begin"/>
      </w:r>
      <w:r>
        <w:instrText xml:space="preserve"> HYPERLINK \l "_Toc256000179" </w:instrText>
      </w:r>
      <w:r>
        <w:fldChar w:fldCharType="separate"/>
      </w:r>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_Toc256000179 \h </w:instrText>
      </w:r>
      <w:r>
        <w:fldChar w:fldCharType="separate"/>
      </w:r>
      <w:r>
        <w:t>752</w:t>
      </w:r>
      <w:r>
        <w:fldChar w:fldCharType="end"/>
      </w:r>
      <w:r>
        <w:fldChar w:fldCharType="end"/>
      </w:r>
    </w:p>
    <w:p>
      <w:pPr>
        <w:pStyle w:val="TOC2"/>
        <w:rPr>
          <w:rFonts w:ascii="Calibri" w:hAnsi="Calibri"/>
          <w:noProof/>
          <w:sz w:val="22"/>
        </w:rPr>
      </w:pPr>
      <w:r>
        <w:fldChar w:fldCharType="begin"/>
      </w:r>
      <w:r>
        <w:instrText xml:space="preserve"> HYPERLINK \l "_Toc256000180" </w:instrText>
      </w:r>
      <w:r>
        <w:fldChar w:fldCharType="separate"/>
      </w:r>
      <w:r>
        <w:rPr>
          <w:rStyle w:val="Hyperlink"/>
        </w:rPr>
        <w:t>12.4.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_Toc256000180 \h </w:instrText>
      </w:r>
      <w:r>
        <w:fldChar w:fldCharType="separate"/>
      </w:r>
      <w:r>
        <w:t>752</w:t>
      </w:r>
      <w:r>
        <w:fldChar w:fldCharType="end"/>
      </w:r>
      <w:r>
        <w:fldChar w:fldCharType="end"/>
      </w:r>
    </w:p>
    <w:p>
      <w:pPr>
        <w:pStyle w:val="TOC2"/>
        <w:rPr>
          <w:rFonts w:ascii="Calibri" w:hAnsi="Calibri"/>
          <w:noProof/>
          <w:sz w:val="22"/>
        </w:rPr>
      </w:pPr>
      <w:r>
        <w:fldChar w:fldCharType="begin"/>
      </w:r>
      <w:r>
        <w:instrText xml:space="preserve"> HYPERLINK \l "_Toc256000181" </w:instrText>
      </w:r>
      <w:r>
        <w:fldChar w:fldCharType="separate"/>
      </w:r>
      <w:r>
        <w:rPr>
          <w:rStyle w:val="Hyperlink"/>
        </w:rPr>
        <w:t>12.5.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_Toc256000181 \h </w:instrText>
      </w:r>
      <w:r>
        <w:fldChar w:fldCharType="separate"/>
      </w:r>
      <w:r>
        <w:t>752</w:t>
      </w:r>
      <w:r>
        <w:fldChar w:fldCharType="end"/>
      </w:r>
      <w:r>
        <w:fldChar w:fldCharType="end"/>
      </w:r>
    </w:p>
    <w:p>
      <w:pPr>
        <w:pStyle w:val="TOC2"/>
        <w:rPr>
          <w:rFonts w:ascii="Calibri" w:hAnsi="Calibri"/>
          <w:noProof/>
          <w:sz w:val="22"/>
        </w:rPr>
      </w:pPr>
      <w:r>
        <w:fldChar w:fldCharType="begin"/>
      </w:r>
      <w:r>
        <w:instrText xml:space="preserve"> HYPERLINK \l "_Toc256000182" </w:instrText>
      </w:r>
      <w:r>
        <w:fldChar w:fldCharType="separate"/>
      </w:r>
      <w:r>
        <w:rPr>
          <w:rStyle w:val="Hyperlink"/>
        </w:rPr>
        <w:t>12.6.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_Toc256000182 \h </w:instrText>
      </w:r>
      <w:r>
        <w:fldChar w:fldCharType="separate"/>
      </w:r>
      <w:r>
        <w:t>752</w:t>
      </w:r>
      <w:r>
        <w:fldChar w:fldCharType="end"/>
      </w:r>
      <w:r>
        <w:fldChar w:fldCharType="end"/>
      </w:r>
    </w:p>
    <w:p>
      <w:pPr>
        <w:pStyle w:val="TOC2"/>
        <w:rPr>
          <w:rFonts w:ascii="Calibri" w:hAnsi="Calibri"/>
          <w:noProof/>
          <w:sz w:val="22"/>
        </w:rPr>
      </w:pPr>
      <w:r>
        <w:fldChar w:fldCharType="begin"/>
      </w:r>
      <w:r>
        <w:instrText xml:space="preserve"> HYPERLINK \l "_Toc256000183" </w:instrText>
      </w:r>
      <w:r>
        <w:fldChar w:fldCharType="separate"/>
      </w:r>
      <w:r>
        <w:rPr>
          <w:rStyle w:val="Hyperlink"/>
        </w:rPr>
        <w:t>12.7.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_Toc256000183 \h </w:instrText>
      </w:r>
      <w:r>
        <w:fldChar w:fldCharType="separate"/>
      </w:r>
      <w:r>
        <w:t>753</w:t>
      </w:r>
      <w:r>
        <w:fldChar w:fldCharType="end"/>
      </w:r>
      <w:r>
        <w:fldChar w:fldCharType="end"/>
      </w:r>
    </w:p>
    <w:p>
      <w:pPr>
        <w:pStyle w:val="TOC2"/>
        <w:rPr>
          <w:rFonts w:ascii="Calibri" w:hAnsi="Calibri"/>
          <w:noProof/>
          <w:sz w:val="22"/>
        </w:rPr>
      </w:pPr>
      <w:r>
        <w:fldChar w:fldCharType="begin"/>
      </w:r>
      <w:r>
        <w:instrText xml:space="preserve"> HYPERLINK \l "_Toc256000184" </w:instrText>
      </w:r>
      <w:r>
        <w:fldChar w:fldCharType="separate"/>
      </w:r>
      <w:r>
        <w:rPr>
          <w:rStyle w:val="Hyperlink"/>
        </w:rPr>
        <w:t>12.8.</w:t>
      </w:r>
      <w:r>
        <w:rPr>
          <w:rStyle w:val="Hyperlink"/>
        </w:rPr>
        <w:t xml:space="preserve"> </w:t>
      </w:r>
      <w:r>
        <w:rPr>
          <w:rStyle w:val="Hyperlink"/>
        </w:rPr>
        <w:t>M10 — Агроекология и климат (член 28)</w:t>
      </w:r>
      <w:r>
        <w:tab/>
      </w:r>
      <w:r>
        <w:fldChar w:fldCharType="begin"/>
      </w:r>
      <w:r>
        <w:instrText xml:space="preserve"> PAGEREF _Toc256000184 \h </w:instrText>
      </w:r>
      <w:r>
        <w:fldChar w:fldCharType="separate"/>
      </w:r>
      <w:r>
        <w:t>753</w:t>
      </w:r>
      <w:r>
        <w:fldChar w:fldCharType="end"/>
      </w:r>
      <w:r>
        <w:fldChar w:fldCharType="end"/>
      </w:r>
    </w:p>
    <w:p>
      <w:pPr>
        <w:pStyle w:val="TOC2"/>
        <w:rPr>
          <w:rFonts w:ascii="Calibri" w:hAnsi="Calibri"/>
          <w:noProof/>
          <w:sz w:val="22"/>
        </w:rPr>
      </w:pPr>
      <w:r>
        <w:fldChar w:fldCharType="begin"/>
      </w:r>
      <w:r>
        <w:instrText xml:space="preserve"> HYPERLINK \l "_Toc256000185" </w:instrText>
      </w:r>
      <w:r>
        <w:fldChar w:fldCharType="separate"/>
      </w:r>
      <w:r>
        <w:rPr>
          <w:rStyle w:val="Hyperlink"/>
        </w:rPr>
        <w:t>12.9.</w:t>
      </w:r>
      <w:r>
        <w:rPr>
          <w:rStyle w:val="Hyperlink"/>
        </w:rPr>
        <w:t xml:space="preserve"> </w:t>
      </w:r>
      <w:r>
        <w:rPr>
          <w:rStyle w:val="Hyperlink"/>
        </w:rPr>
        <w:t>М11 — Биологично земеделие (член 29)</w:t>
      </w:r>
      <w:r>
        <w:tab/>
      </w:r>
      <w:r>
        <w:fldChar w:fldCharType="begin"/>
      </w:r>
      <w:r>
        <w:instrText xml:space="preserve"> PAGEREF _Toc256000185 \h </w:instrText>
      </w:r>
      <w:r>
        <w:fldChar w:fldCharType="separate"/>
      </w:r>
      <w:r>
        <w:t>753</w:t>
      </w:r>
      <w:r>
        <w:fldChar w:fldCharType="end"/>
      </w:r>
      <w:r>
        <w:fldChar w:fldCharType="end"/>
      </w:r>
    </w:p>
    <w:p>
      <w:pPr>
        <w:pStyle w:val="TOC2"/>
        <w:rPr>
          <w:rFonts w:ascii="Calibri" w:hAnsi="Calibri"/>
          <w:noProof/>
          <w:sz w:val="22"/>
        </w:rPr>
      </w:pPr>
      <w:r>
        <w:fldChar w:fldCharType="begin"/>
      </w:r>
      <w:r>
        <w:instrText xml:space="preserve"> HYPERLINK \l "_Toc256000186" </w:instrText>
      </w:r>
      <w:r>
        <w:fldChar w:fldCharType="separate"/>
      </w:r>
      <w:r>
        <w:rPr>
          <w:rStyle w:val="Hyperlink"/>
        </w:rPr>
        <w:t>12.10.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_Toc256000186 \h </w:instrText>
      </w:r>
      <w:r>
        <w:fldChar w:fldCharType="separate"/>
      </w:r>
      <w:r>
        <w:t>753</w:t>
      </w:r>
      <w:r>
        <w:fldChar w:fldCharType="end"/>
      </w:r>
      <w:r>
        <w:fldChar w:fldCharType="end"/>
      </w:r>
    </w:p>
    <w:p>
      <w:pPr>
        <w:pStyle w:val="TOC2"/>
        <w:rPr>
          <w:rFonts w:ascii="Calibri" w:hAnsi="Calibri"/>
          <w:noProof/>
          <w:sz w:val="22"/>
        </w:rPr>
      </w:pPr>
      <w:r>
        <w:fldChar w:fldCharType="begin"/>
      </w:r>
      <w:r>
        <w:instrText xml:space="preserve"> HYPERLINK \l "_Toc256000187" </w:instrText>
      </w:r>
      <w:r>
        <w:fldChar w:fldCharType="separate"/>
      </w:r>
      <w:r>
        <w:rPr>
          <w:rStyle w:val="Hyperlink"/>
        </w:rPr>
        <w:t>12.11.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_Toc256000187 \h </w:instrText>
      </w:r>
      <w:r>
        <w:fldChar w:fldCharType="separate"/>
      </w:r>
      <w:r>
        <w:t>754</w:t>
      </w:r>
      <w:r>
        <w:fldChar w:fldCharType="end"/>
      </w:r>
      <w:r>
        <w:fldChar w:fldCharType="end"/>
      </w:r>
    </w:p>
    <w:p>
      <w:pPr>
        <w:pStyle w:val="TOC2"/>
        <w:rPr>
          <w:rFonts w:ascii="Calibri" w:hAnsi="Calibri"/>
          <w:noProof/>
          <w:sz w:val="22"/>
        </w:rPr>
      </w:pPr>
      <w:r>
        <w:fldChar w:fldCharType="begin"/>
      </w:r>
      <w:r>
        <w:instrText xml:space="preserve"> HYPERLINK \l "_Toc256000188" </w:instrText>
      </w:r>
      <w:r>
        <w:fldChar w:fldCharType="separate"/>
      </w:r>
      <w:r>
        <w:rPr>
          <w:rStyle w:val="Hyperlink"/>
        </w:rPr>
        <w:t>12.12.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_Toc256000188 \h </w:instrText>
      </w:r>
      <w:r>
        <w:fldChar w:fldCharType="separate"/>
      </w:r>
      <w:r>
        <w:t>754</w:t>
      </w:r>
      <w:r>
        <w:fldChar w:fldCharType="end"/>
      </w:r>
      <w:r>
        <w:fldChar w:fldCharType="end"/>
      </w:r>
    </w:p>
    <w:p>
      <w:pPr>
        <w:pStyle w:val="TOC2"/>
        <w:rPr>
          <w:rFonts w:ascii="Calibri" w:hAnsi="Calibri"/>
          <w:noProof/>
          <w:sz w:val="22"/>
        </w:rPr>
      </w:pPr>
      <w:r>
        <w:fldChar w:fldCharType="begin"/>
      </w:r>
      <w:r>
        <w:instrText xml:space="preserve"> HYPERLINK \l "_Toc256000189" </w:instrText>
      </w:r>
      <w:r>
        <w:fldChar w:fldCharType="separate"/>
      </w:r>
      <w:r>
        <w:rPr>
          <w:rStyle w:val="Hyperlink"/>
        </w:rPr>
        <w:t>12.13.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_Toc256000189 \h </w:instrText>
      </w:r>
      <w:r>
        <w:fldChar w:fldCharType="separate"/>
      </w:r>
      <w:r>
        <w:t>754</w:t>
      </w:r>
      <w:r>
        <w:fldChar w:fldCharType="end"/>
      </w:r>
      <w:r>
        <w:fldChar w:fldCharType="end"/>
      </w:r>
    </w:p>
    <w:p>
      <w:pPr>
        <w:pStyle w:val="TOC2"/>
        <w:rPr>
          <w:rFonts w:ascii="Calibri" w:hAnsi="Calibri"/>
          <w:noProof/>
          <w:sz w:val="22"/>
        </w:rPr>
      </w:pPr>
      <w:r>
        <w:fldChar w:fldCharType="begin"/>
      </w:r>
      <w:r>
        <w:instrText xml:space="preserve"> HYPERLINK \l "_Toc256000190" </w:instrText>
      </w:r>
      <w:r>
        <w:fldChar w:fldCharType="separate"/>
      </w:r>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_Toc256000190 \h </w:instrText>
      </w:r>
      <w:r>
        <w:fldChar w:fldCharType="separate"/>
      </w:r>
      <w:r>
        <w:t>754</w:t>
      </w:r>
      <w:r>
        <w:fldChar w:fldCharType="end"/>
      </w:r>
      <w:r>
        <w:fldChar w:fldCharType="end"/>
      </w:r>
    </w:p>
    <w:p>
      <w:pPr>
        <w:pStyle w:val="TOC2"/>
        <w:rPr>
          <w:rFonts w:ascii="Calibri" w:hAnsi="Calibri"/>
          <w:noProof/>
          <w:sz w:val="22"/>
        </w:rPr>
      </w:pPr>
      <w:r>
        <w:fldChar w:fldCharType="begin"/>
      </w:r>
      <w:r>
        <w:instrText xml:space="preserve"> HYPERLINK \l "_Toc256000191" </w:instrText>
      </w:r>
      <w:r>
        <w:fldChar w:fldCharType="separate"/>
      </w:r>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_Toc256000191 \h </w:instrText>
      </w:r>
      <w:r>
        <w:fldChar w:fldCharType="separate"/>
      </w:r>
      <w:r>
        <w:t>754</w:t>
      </w:r>
      <w:r>
        <w:fldChar w:fldCharType="end"/>
      </w:r>
      <w:r>
        <w:fldChar w:fldCharType="end"/>
      </w:r>
    </w:p>
    <w:p>
      <w:pPr>
        <w:pStyle w:val="TOC2"/>
        <w:rPr>
          <w:rFonts w:ascii="Calibri" w:hAnsi="Calibri"/>
          <w:noProof/>
          <w:sz w:val="22"/>
        </w:rPr>
      </w:pPr>
      <w:r>
        <w:fldChar w:fldCharType="begin"/>
      </w:r>
      <w:r>
        <w:instrText xml:space="preserve"> HYPERLINK \l "_Toc256000192" </w:instrText>
      </w:r>
      <w:r>
        <w:fldChar w:fldCharType="separate"/>
      </w:r>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_Toc256000192 \h </w:instrText>
      </w:r>
      <w:r>
        <w:fldChar w:fldCharType="separate"/>
      </w:r>
      <w:r>
        <w:t>755</w:t>
      </w:r>
      <w:r>
        <w:fldChar w:fldCharType="end"/>
      </w:r>
      <w:r>
        <w:fldChar w:fldCharType="end"/>
      </w:r>
    </w:p>
    <w:p>
      <w:pPr>
        <w:pStyle w:val="TOC1"/>
        <w:rPr>
          <w:rFonts w:ascii="Calibri" w:hAnsi="Calibri"/>
          <w:noProof/>
          <w:sz w:val="22"/>
        </w:rPr>
      </w:pPr>
      <w:r>
        <w:fldChar w:fldCharType="begin"/>
      </w:r>
      <w:r>
        <w:instrText xml:space="preserve"> HYPERLINK \l "_Toc256000193" </w:instrText>
      </w:r>
      <w:r>
        <w:fldChar w:fldCharType="separate"/>
      </w:r>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_Toc256000193 \h </w:instrText>
      </w:r>
      <w:r>
        <w:fldChar w:fldCharType="separate"/>
      </w:r>
      <w:r>
        <w:t>756</w:t>
      </w:r>
      <w:r>
        <w:fldChar w:fldCharType="end"/>
      </w:r>
      <w:r>
        <w:fldChar w:fldCharType="end"/>
      </w:r>
    </w:p>
    <w:p>
      <w:pPr>
        <w:pStyle w:val="TOC2"/>
        <w:rPr>
          <w:rFonts w:ascii="Calibri" w:hAnsi="Calibri"/>
          <w:noProof/>
          <w:sz w:val="22"/>
        </w:rPr>
      </w:pPr>
      <w:r>
        <w:fldChar w:fldCharType="begin"/>
      </w:r>
      <w:r>
        <w:instrText xml:space="preserve"> HYPERLINK \l "_Toc256000194" </w:instrText>
      </w:r>
      <w:r>
        <w:fldChar w:fldCharType="separate"/>
      </w:r>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_Toc256000194 \h </w:instrText>
      </w:r>
      <w:r>
        <w:fldChar w:fldCharType="separate"/>
      </w:r>
      <w:r>
        <w:t>759</w:t>
      </w:r>
      <w:r>
        <w:fldChar w:fldCharType="end"/>
      </w:r>
      <w:r>
        <w:fldChar w:fldCharType="end"/>
      </w:r>
    </w:p>
    <w:p>
      <w:pPr>
        <w:pStyle w:val="TOC2"/>
        <w:rPr>
          <w:rFonts w:ascii="Calibri" w:hAnsi="Calibri"/>
          <w:noProof/>
          <w:sz w:val="22"/>
        </w:rPr>
      </w:pPr>
      <w:r>
        <w:fldChar w:fldCharType="begin"/>
      </w:r>
      <w:r>
        <w:instrText xml:space="preserve"> HYPERLINK \l "_Toc256000195" </w:instrText>
      </w:r>
      <w:r>
        <w:fldChar w:fldCharType="separate"/>
      </w:r>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_Toc256000195 \h </w:instrText>
      </w:r>
      <w:r>
        <w:fldChar w:fldCharType="separate"/>
      </w:r>
      <w:r>
        <w:t>759</w:t>
      </w:r>
      <w:r>
        <w:fldChar w:fldCharType="end"/>
      </w:r>
      <w:r>
        <w:fldChar w:fldCharType="end"/>
      </w:r>
    </w:p>
    <w:p>
      <w:pPr>
        <w:pStyle w:val="TOC2"/>
        <w:rPr>
          <w:rFonts w:ascii="Calibri" w:hAnsi="Calibri"/>
          <w:noProof/>
          <w:sz w:val="22"/>
        </w:rPr>
      </w:pPr>
      <w:r>
        <w:fldChar w:fldCharType="begin"/>
      </w:r>
      <w:r>
        <w:instrText xml:space="preserve"> HYPERLINK \l "_Toc256000196" </w:instrText>
      </w:r>
      <w:r>
        <w:fldChar w:fldCharType="separate"/>
      </w:r>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_Toc256000196 \h </w:instrText>
      </w:r>
      <w:r>
        <w:fldChar w:fldCharType="separate"/>
      </w:r>
      <w:r>
        <w:t>760</w:t>
      </w:r>
      <w:r>
        <w:fldChar w:fldCharType="end"/>
      </w:r>
      <w:r>
        <w:fldChar w:fldCharType="end"/>
      </w:r>
    </w:p>
    <w:p>
      <w:pPr>
        <w:pStyle w:val="TOC2"/>
        <w:rPr>
          <w:rFonts w:ascii="Calibri" w:hAnsi="Calibri"/>
          <w:noProof/>
          <w:sz w:val="22"/>
        </w:rPr>
      </w:pPr>
      <w:r>
        <w:fldChar w:fldCharType="begin"/>
      </w:r>
      <w:r>
        <w:instrText xml:space="preserve"> HYPERLINK \l "_Toc256000197" </w:instrText>
      </w:r>
      <w:r>
        <w:fldChar w:fldCharType="separate"/>
      </w:r>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_Toc256000197 \h </w:instrText>
      </w:r>
      <w:r>
        <w:fldChar w:fldCharType="separate"/>
      </w:r>
      <w:r>
        <w:t>760</w:t>
      </w:r>
      <w:r>
        <w:fldChar w:fldCharType="end"/>
      </w:r>
      <w:r>
        <w:fldChar w:fldCharType="end"/>
      </w:r>
    </w:p>
    <w:p>
      <w:pPr>
        <w:pStyle w:val="TOC2"/>
        <w:rPr>
          <w:rFonts w:ascii="Calibri" w:hAnsi="Calibri"/>
          <w:noProof/>
          <w:sz w:val="22"/>
        </w:rPr>
      </w:pPr>
      <w:r>
        <w:fldChar w:fldCharType="begin"/>
      </w:r>
      <w:r>
        <w:instrText xml:space="preserve"> HYPERLINK \l "_Toc256000198" </w:instrText>
      </w:r>
      <w:r>
        <w:fldChar w:fldCharType="separate"/>
      </w:r>
      <w:r>
        <w:rPr>
          <w:rStyle w:val="Hyperlink"/>
        </w:rPr>
        <w:t>13.5.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_Toc256000198 \h </w:instrText>
      </w:r>
      <w:r>
        <w:fldChar w:fldCharType="separate"/>
      </w:r>
      <w:r>
        <w:t>761</w:t>
      </w:r>
      <w:r>
        <w:fldChar w:fldCharType="end"/>
      </w:r>
      <w:r>
        <w:fldChar w:fldCharType="end"/>
      </w:r>
    </w:p>
    <w:p>
      <w:pPr>
        <w:pStyle w:val="TOC2"/>
        <w:rPr>
          <w:rFonts w:ascii="Calibri" w:hAnsi="Calibri"/>
          <w:noProof/>
          <w:sz w:val="22"/>
        </w:rPr>
      </w:pPr>
      <w:r>
        <w:fldChar w:fldCharType="begin"/>
      </w:r>
      <w:r>
        <w:instrText xml:space="preserve"> HYPERLINK \l "_Toc256000199" </w:instrText>
      </w:r>
      <w:r>
        <w:fldChar w:fldCharType="separate"/>
      </w:r>
      <w:r>
        <w:rPr>
          <w:rStyle w:val="Hyperlink"/>
        </w:rPr>
        <w:t>13.6.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_Toc256000199 \h </w:instrText>
      </w:r>
      <w:r>
        <w:fldChar w:fldCharType="separate"/>
      </w:r>
      <w:r>
        <w:t>761</w:t>
      </w:r>
      <w:r>
        <w:fldChar w:fldCharType="end"/>
      </w:r>
      <w:r>
        <w:fldChar w:fldCharType="end"/>
      </w:r>
    </w:p>
    <w:p>
      <w:pPr>
        <w:pStyle w:val="TOC2"/>
        <w:rPr>
          <w:rFonts w:ascii="Calibri" w:hAnsi="Calibri"/>
          <w:noProof/>
          <w:sz w:val="22"/>
        </w:rPr>
      </w:pPr>
      <w:r>
        <w:fldChar w:fldCharType="begin"/>
      </w:r>
      <w:r>
        <w:instrText xml:space="preserve"> HYPERLINK \l "_Toc256000200" </w:instrText>
      </w:r>
      <w:r>
        <w:fldChar w:fldCharType="separate"/>
      </w:r>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_Toc256000200 \h </w:instrText>
      </w:r>
      <w:r>
        <w:fldChar w:fldCharType="separate"/>
      </w:r>
      <w:r>
        <w:t>762</w:t>
      </w:r>
      <w:r>
        <w:fldChar w:fldCharType="end"/>
      </w:r>
      <w:r>
        <w:fldChar w:fldCharType="end"/>
      </w:r>
    </w:p>
    <w:p>
      <w:pPr>
        <w:pStyle w:val="TOC2"/>
        <w:rPr>
          <w:rFonts w:ascii="Calibri" w:hAnsi="Calibri"/>
          <w:noProof/>
          <w:sz w:val="22"/>
        </w:rPr>
      </w:pPr>
      <w:r>
        <w:fldChar w:fldCharType="begin"/>
      </w:r>
      <w:r>
        <w:instrText xml:space="preserve"> HYPERLINK \l "_Toc256000201" </w:instrText>
      </w:r>
      <w:r>
        <w:fldChar w:fldCharType="separate"/>
      </w:r>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_Toc256000201 \h </w:instrText>
      </w:r>
      <w:r>
        <w:fldChar w:fldCharType="separate"/>
      </w:r>
      <w:r>
        <w:t>762</w:t>
      </w:r>
      <w:r>
        <w:fldChar w:fldCharType="end"/>
      </w:r>
      <w:r>
        <w:fldChar w:fldCharType="end"/>
      </w:r>
    </w:p>
    <w:p>
      <w:pPr>
        <w:pStyle w:val="TOC2"/>
        <w:rPr>
          <w:rFonts w:ascii="Calibri" w:hAnsi="Calibri"/>
          <w:noProof/>
          <w:sz w:val="22"/>
        </w:rPr>
      </w:pPr>
      <w:r>
        <w:fldChar w:fldCharType="begin"/>
      </w:r>
      <w:r>
        <w:instrText xml:space="preserve"> HYPERLINK \l "_Toc256000202" </w:instrText>
      </w:r>
      <w:r>
        <w:fldChar w:fldCharType="separate"/>
      </w:r>
      <w:r>
        <w:rPr>
          <w:rStyle w:val="Hyperlink"/>
        </w:rPr>
        <w:t>13.9.</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_Toc256000202 \h </w:instrText>
      </w:r>
      <w:r>
        <w:fldChar w:fldCharType="separate"/>
      </w:r>
      <w:r>
        <w:t>763</w:t>
      </w:r>
      <w:r>
        <w:fldChar w:fldCharType="end"/>
      </w:r>
      <w:r>
        <w:fldChar w:fldCharType="end"/>
      </w:r>
    </w:p>
    <w:p>
      <w:pPr>
        <w:pStyle w:val="TOC2"/>
        <w:rPr>
          <w:rFonts w:ascii="Calibri" w:hAnsi="Calibri"/>
          <w:noProof/>
          <w:sz w:val="22"/>
        </w:rPr>
      </w:pPr>
      <w:r>
        <w:fldChar w:fldCharType="begin"/>
      </w:r>
      <w:r>
        <w:instrText xml:space="preserve"> HYPERLINK \l "_Toc256000203" </w:instrText>
      </w:r>
      <w:r>
        <w:fldChar w:fldCharType="separate"/>
      </w:r>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_Toc256000203 \h </w:instrText>
      </w:r>
      <w:r>
        <w:fldChar w:fldCharType="separate"/>
      </w:r>
      <w:r>
        <w:t>763</w:t>
      </w:r>
      <w:r>
        <w:fldChar w:fldCharType="end"/>
      </w:r>
      <w:r>
        <w:fldChar w:fldCharType="end"/>
      </w:r>
    </w:p>
    <w:p>
      <w:pPr>
        <w:pStyle w:val="TOC2"/>
        <w:rPr>
          <w:rFonts w:ascii="Calibri" w:hAnsi="Calibri"/>
          <w:noProof/>
          <w:sz w:val="22"/>
        </w:rPr>
      </w:pPr>
      <w:r>
        <w:fldChar w:fldCharType="begin"/>
      </w:r>
      <w:r>
        <w:instrText xml:space="preserve"> HYPERLINK \l "_Toc256000204" </w:instrText>
      </w:r>
      <w:r>
        <w:fldChar w:fldCharType="separate"/>
      </w:r>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_Toc256000204 \h </w:instrText>
      </w:r>
      <w:r>
        <w:fldChar w:fldCharType="separate"/>
      </w:r>
      <w:r>
        <w:t>764</w:t>
      </w:r>
      <w:r>
        <w:fldChar w:fldCharType="end"/>
      </w:r>
      <w:r>
        <w:fldChar w:fldCharType="end"/>
      </w:r>
    </w:p>
    <w:p>
      <w:pPr>
        <w:pStyle w:val="TOC2"/>
        <w:rPr>
          <w:rFonts w:ascii="Calibri" w:hAnsi="Calibri"/>
          <w:noProof/>
          <w:sz w:val="22"/>
        </w:rPr>
      </w:pPr>
      <w:r>
        <w:fldChar w:fldCharType="begin"/>
      </w:r>
      <w:r>
        <w:instrText xml:space="preserve"> HYPERLINK \l "_Toc256000205" </w:instrText>
      </w:r>
      <w:r>
        <w:fldChar w:fldCharType="separate"/>
      </w:r>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_Toc256000205 \h </w:instrText>
      </w:r>
      <w:r>
        <w:fldChar w:fldCharType="separate"/>
      </w:r>
      <w:r>
        <w:t>764</w:t>
      </w:r>
      <w:r>
        <w:fldChar w:fldCharType="end"/>
      </w:r>
      <w:r>
        <w:fldChar w:fldCharType="end"/>
      </w:r>
    </w:p>
    <w:p>
      <w:pPr>
        <w:pStyle w:val="TOC2"/>
        <w:rPr>
          <w:rFonts w:ascii="Calibri" w:hAnsi="Calibri"/>
          <w:noProof/>
          <w:sz w:val="22"/>
        </w:rPr>
      </w:pPr>
      <w:r>
        <w:fldChar w:fldCharType="begin"/>
      </w:r>
      <w:r>
        <w:instrText xml:space="preserve"> HYPERLINK \l "_Toc256000206" </w:instrText>
      </w:r>
      <w:r>
        <w:fldChar w:fldCharType="separate"/>
      </w:r>
      <w:r>
        <w:rPr>
          <w:rStyle w:val="Hyperlink"/>
        </w:rPr>
        <w:t>13.13.</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_Toc256000206 \h </w:instrText>
      </w:r>
      <w:r>
        <w:fldChar w:fldCharType="separate"/>
      </w:r>
      <w:r>
        <w:t>765</w:t>
      </w:r>
      <w:r>
        <w:fldChar w:fldCharType="end"/>
      </w:r>
      <w:r>
        <w:fldChar w:fldCharType="end"/>
      </w:r>
    </w:p>
    <w:p>
      <w:pPr>
        <w:pStyle w:val="TOC2"/>
        <w:rPr>
          <w:rFonts w:ascii="Calibri" w:hAnsi="Calibri"/>
          <w:noProof/>
          <w:sz w:val="22"/>
        </w:rPr>
      </w:pPr>
      <w:r>
        <w:fldChar w:fldCharType="begin"/>
      </w:r>
      <w:r>
        <w:instrText xml:space="preserve"> HYPERLINK \l "_Toc256000207" </w:instrText>
      </w:r>
      <w:r>
        <w:fldChar w:fldCharType="separate"/>
      </w:r>
      <w:r>
        <w:rPr>
          <w:rStyle w:val="Hyperlink"/>
        </w:rPr>
        <w:t>13.14.</w:t>
      </w:r>
      <w:r>
        <w:rPr>
          <w:rStyle w:val="Hyperlink"/>
        </w:rPr>
        <w:t xml:space="preserve"> </w:t>
      </w:r>
      <w:r>
        <w:rPr>
          <w:rStyle w:val="Hyperlink"/>
        </w:rPr>
        <w:t>M10 — Агроекология и климат (член 28)</w:t>
      </w:r>
      <w:r>
        <w:tab/>
      </w:r>
      <w:r>
        <w:fldChar w:fldCharType="begin"/>
      </w:r>
      <w:r>
        <w:instrText xml:space="preserve"> PAGEREF _Toc256000207 \h </w:instrText>
      </w:r>
      <w:r>
        <w:fldChar w:fldCharType="separate"/>
      </w:r>
      <w:r>
        <w:t>765</w:t>
      </w:r>
      <w:r>
        <w:fldChar w:fldCharType="end"/>
      </w:r>
      <w:r>
        <w:fldChar w:fldCharType="end"/>
      </w:r>
    </w:p>
    <w:p>
      <w:pPr>
        <w:pStyle w:val="TOC2"/>
        <w:rPr>
          <w:rFonts w:ascii="Calibri" w:hAnsi="Calibri"/>
          <w:noProof/>
          <w:sz w:val="22"/>
        </w:rPr>
      </w:pPr>
      <w:r>
        <w:fldChar w:fldCharType="begin"/>
      </w:r>
      <w:r>
        <w:instrText xml:space="preserve"> HYPERLINK \l "_Toc256000208" </w:instrText>
      </w:r>
      <w:r>
        <w:fldChar w:fldCharType="separate"/>
      </w:r>
      <w:r>
        <w:rPr>
          <w:rStyle w:val="Hyperlink"/>
        </w:rPr>
        <w:t>13.15.</w:t>
      </w:r>
      <w:r>
        <w:rPr>
          <w:rStyle w:val="Hyperlink"/>
        </w:rPr>
        <w:t xml:space="preserve"> </w:t>
      </w:r>
      <w:r>
        <w:rPr>
          <w:rStyle w:val="Hyperlink"/>
        </w:rPr>
        <w:t>М11 — Биологично земеделие (член 29)</w:t>
      </w:r>
      <w:r>
        <w:tab/>
      </w:r>
      <w:r>
        <w:fldChar w:fldCharType="begin"/>
      </w:r>
      <w:r>
        <w:instrText xml:space="preserve"> PAGEREF _Toc256000208 \h </w:instrText>
      </w:r>
      <w:r>
        <w:fldChar w:fldCharType="separate"/>
      </w:r>
      <w:r>
        <w:t>766</w:t>
      </w:r>
      <w:r>
        <w:fldChar w:fldCharType="end"/>
      </w:r>
      <w:r>
        <w:fldChar w:fldCharType="end"/>
      </w:r>
    </w:p>
    <w:p>
      <w:pPr>
        <w:pStyle w:val="TOC2"/>
        <w:rPr>
          <w:rFonts w:ascii="Calibri" w:hAnsi="Calibri"/>
          <w:noProof/>
          <w:sz w:val="22"/>
        </w:rPr>
      </w:pPr>
      <w:r>
        <w:fldChar w:fldCharType="begin"/>
      </w:r>
      <w:r>
        <w:instrText xml:space="preserve"> HYPERLINK \l "_Toc256000209" </w:instrText>
      </w:r>
      <w:r>
        <w:fldChar w:fldCharType="separate"/>
      </w:r>
      <w:r>
        <w:rPr>
          <w:rStyle w:val="Hyperlink"/>
        </w:rPr>
        <w:t>13.16.</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_Toc256000209 \h </w:instrText>
      </w:r>
      <w:r>
        <w:fldChar w:fldCharType="separate"/>
      </w:r>
      <w:r>
        <w:t>766</w:t>
      </w:r>
      <w:r>
        <w:fldChar w:fldCharType="end"/>
      </w:r>
      <w:r>
        <w:fldChar w:fldCharType="end"/>
      </w:r>
    </w:p>
    <w:p>
      <w:pPr>
        <w:pStyle w:val="TOC2"/>
        <w:rPr>
          <w:rFonts w:ascii="Calibri" w:hAnsi="Calibri"/>
          <w:noProof/>
          <w:sz w:val="22"/>
        </w:rPr>
      </w:pPr>
      <w:r>
        <w:fldChar w:fldCharType="begin"/>
      </w:r>
      <w:r>
        <w:instrText xml:space="preserve"> HYPERLINK \l "_Toc256000210" </w:instrText>
      </w:r>
      <w:r>
        <w:fldChar w:fldCharType="separate"/>
      </w:r>
      <w:r>
        <w:rPr>
          <w:rStyle w:val="Hyperlink"/>
        </w:rPr>
        <w:t>13.17.</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_Toc256000210 \h </w:instrText>
      </w:r>
      <w:r>
        <w:fldChar w:fldCharType="separate"/>
      </w:r>
      <w:r>
        <w:t>767</w:t>
      </w:r>
      <w:r>
        <w:fldChar w:fldCharType="end"/>
      </w:r>
      <w:r>
        <w:fldChar w:fldCharType="end"/>
      </w:r>
    </w:p>
    <w:p>
      <w:pPr>
        <w:pStyle w:val="TOC2"/>
        <w:rPr>
          <w:rFonts w:ascii="Calibri" w:hAnsi="Calibri"/>
          <w:noProof/>
          <w:sz w:val="22"/>
        </w:rPr>
      </w:pPr>
      <w:r>
        <w:fldChar w:fldCharType="begin"/>
      </w:r>
      <w:r>
        <w:instrText xml:space="preserve"> HYPERLINK \l "_Toc256000211" </w:instrText>
      </w:r>
      <w:r>
        <w:fldChar w:fldCharType="separate"/>
      </w:r>
      <w:r>
        <w:rPr>
          <w:rStyle w:val="Hyperlink"/>
        </w:rPr>
        <w:t>13.18.</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_Toc256000211 \h </w:instrText>
      </w:r>
      <w:r>
        <w:fldChar w:fldCharType="separate"/>
      </w:r>
      <w:r>
        <w:t>767</w:t>
      </w:r>
      <w:r>
        <w:fldChar w:fldCharType="end"/>
      </w:r>
      <w:r>
        <w:fldChar w:fldCharType="end"/>
      </w:r>
    </w:p>
    <w:p>
      <w:pPr>
        <w:pStyle w:val="TOC2"/>
        <w:rPr>
          <w:rFonts w:ascii="Calibri" w:hAnsi="Calibri"/>
          <w:noProof/>
          <w:sz w:val="22"/>
        </w:rPr>
      </w:pPr>
      <w:r>
        <w:fldChar w:fldCharType="begin"/>
      </w:r>
      <w:r>
        <w:instrText xml:space="preserve"> HYPERLINK \l "_Toc256000212" </w:instrText>
      </w:r>
      <w:r>
        <w:fldChar w:fldCharType="separate"/>
      </w:r>
      <w:r>
        <w:rPr>
          <w:rStyle w:val="Hyperlink"/>
        </w:rPr>
        <w:t>13.19.</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_Toc256000212 \h </w:instrText>
      </w:r>
      <w:r>
        <w:fldChar w:fldCharType="separate"/>
      </w:r>
      <w:r>
        <w:t>767</w:t>
      </w:r>
      <w:r>
        <w:fldChar w:fldCharType="end"/>
      </w:r>
      <w:r>
        <w:fldChar w:fldCharType="end"/>
      </w:r>
    </w:p>
    <w:p>
      <w:pPr>
        <w:pStyle w:val="TOC2"/>
        <w:rPr>
          <w:rFonts w:ascii="Calibri" w:hAnsi="Calibri"/>
          <w:noProof/>
          <w:sz w:val="22"/>
        </w:rPr>
      </w:pPr>
      <w:r>
        <w:fldChar w:fldCharType="begin"/>
      </w:r>
      <w:r>
        <w:instrText xml:space="preserve"> HYPERLINK \l "_Toc256000213" </w:instrText>
      </w:r>
      <w:r>
        <w:fldChar w:fldCharType="separate"/>
      </w:r>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_Toc256000213 \h </w:instrText>
      </w:r>
      <w:r>
        <w:fldChar w:fldCharType="separate"/>
      </w:r>
      <w:r>
        <w:t>768</w:t>
      </w:r>
      <w:r>
        <w:fldChar w:fldCharType="end"/>
      </w:r>
      <w:r>
        <w:fldChar w:fldCharType="end"/>
      </w:r>
    </w:p>
    <w:p>
      <w:pPr>
        <w:pStyle w:val="TOC2"/>
        <w:rPr>
          <w:rFonts w:ascii="Calibri" w:hAnsi="Calibri"/>
          <w:noProof/>
          <w:sz w:val="22"/>
        </w:rPr>
      </w:pPr>
      <w:r>
        <w:fldChar w:fldCharType="begin"/>
      </w:r>
      <w:r>
        <w:instrText xml:space="preserve"> HYPERLINK \l "_Toc256000214" </w:instrText>
      </w:r>
      <w:r>
        <w:fldChar w:fldCharType="separate"/>
      </w:r>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_Toc256000214 \h </w:instrText>
      </w:r>
      <w:r>
        <w:fldChar w:fldCharType="separate"/>
      </w:r>
      <w:r>
        <w:t>768</w:t>
      </w:r>
      <w:r>
        <w:fldChar w:fldCharType="end"/>
      </w:r>
      <w:r>
        <w:fldChar w:fldCharType="end"/>
      </w:r>
    </w:p>
    <w:p>
      <w:pPr>
        <w:pStyle w:val="TOC2"/>
        <w:rPr>
          <w:rFonts w:ascii="Calibri" w:hAnsi="Calibri"/>
          <w:noProof/>
          <w:sz w:val="22"/>
        </w:rPr>
      </w:pPr>
      <w:r>
        <w:fldChar w:fldCharType="begin"/>
      </w:r>
      <w:r>
        <w:instrText xml:space="preserve"> HYPERLINK \l "_Toc256000215" </w:instrText>
      </w:r>
      <w:r>
        <w:fldChar w:fldCharType="separate"/>
      </w:r>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_Toc256000215 \h </w:instrText>
      </w:r>
      <w:r>
        <w:fldChar w:fldCharType="separate"/>
      </w:r>
      <w:r>
        <w:t>769</w:t>
      </w:r>
      <w:r>
        <w:fldChar w:fldCharType="end"/>
      </w:r>
      <w:r>
        <w:fldChar w:fldCharType="end"/>
      </w:r>
    </w:p>
    <w:p>
      <w:pPr>
        <w:pStyle w:val="TOC1"/>
        <w:rPr>
          <w:rFonts w:ascii="Calibri" w:hAnsi="Calibri"/>
          <w:noProof/>
          <w:sz w:val="22"/>
        </w:rPr>
      </w:pPr>
      <w:r>
        <w:fldChar w:fldCharType="begin"/>
      </w:r>
      <w:r>
        <w:instrText xml:space="preserve"> HYPERLINK \l "_Toc256000216" </w:instrText>
      </w:r>
      <w:r>
        <w:fldChar w:fldCharType="separate"/>
      </w:r>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_Toc256000216 \h </w:instrText>
      </w:r>
      <w:r>
        <w:fldChar w:fldCharType="separate"/>
      </w:r>
      <w:r>
        <w:t>771</w:t>
      </w:r>
      <w:r>
        <w:fldChar w:fldCharType="end"/>
      </w:r>
      <w:r>
        <w:fldChar w:fldCharType="end"/>
      </w:r>
    </w:p>
    <w:p>
      <w:pPr>
        <w:pStyle w:val="TOC2"/>
        <w:rPr>
          <w:rFonts w:ascii="Calibri" w:hAnsi="Calibri"/>
          <w:noProof/>
          <w:sz w:val="22"/>
        </w:rPr>
      </w:pPr>
      <w:r>
        <w:fldChar w:fldCharType="begin"/>
      </w:r>
      <w:r>
        <w:instrText xml:space="preserve"> HYPERLINK \l "_Toc256000217" </w:instrText>
      </w:r>
      <w:r>
        <w:fldChar w:fldCharType="separate"/>
      </w:r>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_Toc256000217 \h </w:instrText>
      </w:r>
      <w:r>
        <w:fldChar w:fldCharType="separate"/>
      </w:r>
      <w:r>
        <w:t>771</w:t>
      </w:r>
      <w:r>
        <w:fldChar w:fldCharType="end"/>
      </w:r>
      <w:r>
        <w:fldChar w:fldCharType="end"/>
      </w:r>
    </w:p>
    <w:p>
      <w:pPr>
        <w:pStyle w:val="TOC3"/>
        <w:rPr>
          <w:rFonts w:ascii="Calibri" w:hAnsi="Calibri"/>
          <w:noProof/>
          <w:sz w:val="22"/>
        </w:rPr>
      </w:pPr>
      <w:r>
        <w:fldChar w:fldCharType="begin"/>
      </w:r>
      <w:r>
        <w:instrText xml:space="preserve"> HYPERLINK \l "_Toc256000218" </w:instrText>
      </w:r>
      <w:r>
        <w:fldChar w:fldCharType="separate"/>
      </w:r>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_Toc256000218 \h </w:instrText>
      </w:r>
      <w:r>
        <w:fldChar w:fldCharType="separate"/>
      </w:r>
      <w:r>
        <w:t>771</w:t>
      </w:r>
      <w:r>
        <w:fldChar w:fldCharType="end"/>
      </w:r>
      <w:r>
        <w:fldChar w:fldCharType="end"/>
      </w:r>
    </w:p>
    <w:p>
      <w:pPr>
        <w:pStyle w:val="TOC3"/>
        <w:rPr>
          <w:rFonts w:ascii="Calibri" w:hAnsi="Calibri"/>
          <w:noProof/>
          <w:sz w:val="22"/>
        </w:rPr>
      </w:pPr>
      <w:r>
        <w:fldChar w:fldCharType="begin"/>
      </w:r>
      <w:r>
        <w:instrText xml:space="preserve"> HYPERLINK \l "_Toc256000219" </w:instrText>
      </w:r>
      <w:r>
        <w:fldChar w:fldCharType="separate"/>
      </w:r>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_Toc256000219 \h </w:instrText>
      </w:r>
      <w:r>
        <w:fldChar w:fldCharType="separate"/>
      </w:r>
      <w:r>
        <w:t>779</w:t>
      </w:r>
      <w:r>
        <w:fldChar w:fldCharType="end"/>
      </w:r>
      <w:r>
        <w:fldChar w:fldCharType="end"/>
      </w:r>
    </w:p>
    <w:p>
      <w:pPr>
        <w:pStyle w:val="TOC2"/>
        <w:rPr>
          <w:rFonts w:ascii="Calibri" w:hAnsi="Calibri"/>
          <w:noProof/>
          <w:sz w:val="22"/>
        </w:rPr>
      </w:pPr>
      <w:r>
        <w:fldChar w:fldCharType="begin"/>
      </w:r>
      <w:r>
        <w:instrText xml:space="preserve"> HYPERLINK \l "_Toc256000220" </w:instrText>
      </w:r>
      <w:r>
        <w:fldChar w:fldCharType="separate"/>
      </w:r>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_Toc256000220 \h </w:instrText>
      </w:r>
      <w:r>
        <w:fldChar w:fldCharType="separate"/>
      </w:r>
      <w:r>
        <w:t>779</w:t>
      </w:r>
      <w:r>
        <w:fldChar w:fldCharType="end"/>
      </w:r>
      <w:r>
        <w:fldChar w:fldCharType="end"/>
      </w:r>
    </w:p>
    <w:p>
      <w:pPr>
        <w:pStyle w:val="TOC1"/>
        <w:rPr>
          <w:rFonts w:ascii="Calibri" w:hAnsi="Calibri"/>
          <w:noProof/>
          <w:sz w:val="22"/>
        </w:rPr>
      </w:pPr>
      <w:r>
        <w:fldChar w:fldCharType="begin"/>
      </w:r>
      <w:r>
        <w:instrText xml:space="preserve"> HYPERLINK \l "_Toc256000221" </w:instrText>
      </w:r>
      <w:r>
        <w:fldChar w:fldCharType="separate"/>
      </w:r>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_Toc256000221 \h </w:instrText>
      </w:r>
      <w:r>
        <w:fldChar w:fldCharType="separate"/>
      </w:r>
      <w:r>
        <w:t>782</w:t>
      </w:r>
      <w:r>
        <w:fldChar w:fldCharType="end"/>
      </w:r>
      <w:r>
        <w:fldChar w:fldCharType="end"/>
      </w:r>
    </w:p>
    <w:p>
      <w:pPr>
        <w:pStyle w:val="TOC2"/>
        <w:rPr>
          <w:rFonts w:ascii="Calibri" w:hAnsi="Calibri"/>
          <w:noProof/>
          <w:sz w:val="22"/>
        </w:rPr>
      </w:pPr>
      <w:r>
        <w:fldChar w:fldCharType="begin"/>
      </w:r>
      <w:r>
        <w:instrText xml:space="preserve"> HYPERLINK \l "_Toc256000222" </w:instrText>
      </w:r>
      <w:r>
        <w:fldChar w:fldCharType="separate"/>
      </w:r>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_Toc256000222 \h </w:instrText>
      </w:r>
      <w:r>
        <w:fldChar w:fldCharType="separate"/>
      </w:r>
      <w:r>
        <w:t>782</w:t>
      </w:r>
      <w:r>
        <w:fldChar w:fldCharType="end"/>
      </w:r>
      <w:r>
        <w:fldChar w:fldCharType="end"/>
      </w:r>
    </w:p>
    <w:p>
      <w:pPr>
        <w:pStyle w:val="TOC3"/>
        <w:rPr>
          <w:rFonts w:ascii="Calibri" w:hAnsi="Calibri"/>
          <w:noProof/>
          <w:sz w:val="22"/>
        </w:rPr>
      </w:pPr>
      <w:r>
        <w:fldChar w:fldCharType="begin"/>
      </w:r>
      <w:r>
        <w:instrText xml:space="preserve"> HYPERLINK \l "_Toc256000223" </w:instrText>
      </w:r>
      <w:r>
        <w:fldChar w:fldCharType="separate"/>
      </w:r>
      <w:r>
        <w:rPr>
          <w:rStyle w:val="Hyperlink"/>
        </w:rPr>
        <w:t>15.1.1.</w:t>
      </w:r>
      <w:r>
        <w:rPr>
          <w:rStyle w:val="Hyperlink"/>
        </w:rPr>
        <w:t xml:space="preserve"> </w:t>
      </w:r>
      <w:r>
        <w:rPr>
          <w:rStyle w:val="Hyperlink"/>
        </w:rPr>
        <w:t>Органи</w:t>
      </w:r>
      <w:r>
        <w:tab/>
      </w:r>
      <w:r>
        <w:fldChar w:fldCharType="begin"/>
      </w:r>
      <w:r>
        <w:instrText xml:space="preserve"> PAGEREF _Toc256000223 \h </w:instrText>
      </w:r>
      <w:r>
        <w:fldChar w:fldCharType="separate"/>
      </w:r>
      <w:r>
        <w:t>782</w:t>
      </w:r>
      <w:r>
        <w:fldChar w:fldCharType="end"/>
      </w:r>
      <w:r>
        <w:fldChar w:fldCharType="end"/>
      </w:r>
    </w:p>
    <w:p>
      <w:pPr>
        <w:pStyle w:val="TOC3"/>
        <w:rPr>
          <w:rFonts w:ascii="Calibri" w:hAnsi="Calibri"/>
          <w:noProof/>
          <w:sz w:val="22"/>
        </w:rPr>
      </w:pPr>
      <w:r>
        <w:fldChar w:fldCharType="begin"/>
      </w:r>
      <w:r>
        <w:instrText xml:space="preserve"> HYPERLINK \l "_Toc256000224" </w:instrText>
      </w:r>
      <w:r>
        <w:fldChar w:fldCharType="separate"/>
      </w:r>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_Toc256000224 \h </w:instrText>
      </w:r>
      <w:r>
        <w:fldChar w:fldCharType="separate"/>
      </w:r>
      <w:r>
        <w:t>782</w:t>
      </w:r>
      <w:r>
        <w:fldChar w:fldCharType="end"/>
      </w:r>
      <w:r>
        <w:fldChar w:fldCharType="end"/>
      </w:r>
    </w:p>
    <w:p>
      <w:pPr>
        <w:pStyle w:val="TOC2"/>
        <w:rPr>
          <w:rFonts w:ascii="Calibri" w:hAnsi="Calibri"/>
          <w:noProof/>
          <w:sz w:val="22"/>
        </w:rPr>
      </w:pPr>
      <w:r>
        <w:fldChar w:fldCharType="begin"/>
      </w:r>
      <w:r>
        <w:instrText xml:space="preserve"> HYPERLINK \l "_Toc256000225" </w:instrText>
      </w:r>
      <w:r>
        <w:fldChar w:fldCharType="separate"/>
      </w:r>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_Toc256000225 \h </w:instrText>
      </w:r>
      <w:r>
        <w:fldChar w:fldCharType="separate"/>
      </w:r>
      <w:r>
        <w:t>786</w:t>
      </w:r>
      <w:r>
        <w:fldChar w:fldCharType="end"/>
      </w:r>
      <w:r>
        <w:fldChar w:fldCharType="end"/>
      </w:r>
    </w:p>
    <w:p>
      <w:pPr>
        <w:pStyle w:val="TOC2"/>
        <w:rPr>
          <w:rFonts w:ascii="Calibri" w:hAnsi="Calibri"/>
          <w:noProof/>
          <w:sz w:val="22"/>
        </w:rPr>
      </w:pPr>
      <w:r>
        <w:fldChar w:fldCharType="begin"/>
      </w:r>
      <w:r>
        <w:instrText xml:space="preserve"> HYPERLINK \l "_Toc256000226" </w:instrText>
      </w:r>
      <w:r>
        <w:fldChar w:fldCharType="separate"/>
      </w:r>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_Toc256000226 \h </w:instrText>
      </w:r>
      <w:r>
        <w:fldChar w:fldCharType="separate"/>
      </w:r>
      <w:r>
        <w:t>788</w:t>
      </w:r>
      <w:r>
        <w:fldChar w:fldCharType="end"/>
      </w:r>
      <w:r>
        <w:fldChar w:fldCharType="end"/>
      </w:r>
    </w:p>
    <w:p>
      <w:pPr>
        <w:pStyle w:val="TOC2"/>
        <w:rPr>
          <w:rFonts w:ascii="Calibri" w:hAnsi="Calibri"/>
          <w:noProof/>
          <w:sz w:val="22"/>
        </w:rPr>
      </w:pPr>
      <w:r>
        <w:fldChar w:fldCharType="begin"/>
      </w:r>
      <w:r>
        <w:instrText xml:space="preserve"> HYPERLINK \l "_Toc256000227" </w:instrText>
      </w:r>
      <w:r>
        <w:fldChar w:fldCharType="separate"/>
      </w:r>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_Toc256000227 \h </w:instrText>
      </w:r>
      <w:r>
        <w:fldChar w:fldCharType="separate"/>
      </w:r>
      <w:r>
        <w:t>793</w:t>
      </w:r>
      <w:r>
        <w:fldChar w:fldCharType="end"/>
      </w:r>
      <w:r>
        <w:fldChar w:fldCharType="end"/>
      </w:r>
    </w:p>
    <w:p>
      <w:pPr>
        <w:pStyle w:val="TOC2"/>
        <w:rPr>
          <w:rFonts w:ascii="Calibri" w:hAnsi="Calibri"/>
          <w:noProof/>
          <w:sz w:val="22"/>
        </w:rPr>
      </w:pPr>
      <w:r>
        <w:fldChar w:fldCharType="begin"/>
      </w:r>
      <w:r>
        <w:instrText xml:space="preserve"> HYPERLINK \l "_Toc256000228" </w:instrText>
      </w:r>
      <w:r>
        <w:fldChar w:fldCharType="separate"/>
      </w:r>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_Toc256000228 \h </w:instrText>
      </w:r>
      <w:r>
        <w:fldChar w:fldCharType="separate"/>
      </w:r>
      <w:r>
        <w:t>794</w:t>
      </w:r>
      <w:r>
        <w:fldChar w:fldCharType="end"/>
      </w:r>
      <w:r>
        <w:fldChar w:fldCharType="end"/>
      </w:r>
    </w:p>
    <w:p>
      <w:pPr>
        <w:pStyle w:val="TOC2"/>
        <w:rPr>
          <w:rFonts w:ascii="Calibri" w:hAnsi="Calibri"/>
          <w:noProof/>
          <w:sz w:val="22"/>
        </w:rPr>
      </w:pPr>
      <w:r>
        <w:fldChar w:fldCharType="begin"/>
      </w:r>
      <w:r>
        <w:instrText xml:space="preserve"> HYPERLINK \l "_Toc256000229" </w:instrText>
      </w:r>
      <w:r>
        <w:fldChar w:fldCharType="separate"/>
      </w:r>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_Toc256000229 \h </w:instrText>
      </w:r>
      <w:r>
        <w:fldChar w:fldCharType="separate"/>
      </w:r>
      <w:r>
        <w:t>798</w:t>
      </w:r>
      <w:r>
        <w:fldChar w:fldCharType="end"/>
      </w:r>
      <w:r>
        <w:fldChar w:fldCharType="end"/>
      </w:r>
    </w:p>
    <w:p>
      <w:pPr>
        <w:pStyle w:val="TOC1"/>
        <w:rPr>
          <w:rFonts w:ascii="Calibri" w:hAnsi="Calibri"/>
          <w:noProof/>
          <w:sz w:val="22"/>
        </w:rPr>
      </w:pPr>
      <w:r>
        <w:fldChar w:fldCharType="begin"/>
      </w:r>
      <w:r>
        <w:instrText xml:space="preserve"> HYPERLINK \l "_Toc256000230" </w:instrText>
      </w:r>
      <w:r>
        <w:fldChar w:fldCharType="separate"/>
      </w:r>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_Toc256000230 \h </w:instrText>
      </w:r>
      <w:r>
        <w:fldChar w:fldCharType="separate"/>
      </w:r>
      <w:r>
        <w:t>802</w:t>
      </w:r>
      <w:r>
        <w:fldChar w:fldCharType="end"/>
      </w:r>
      <w:r>
        <w:fldChar w:fldCharType="end"/>
      </w:r>
    </w:p>
    <w:p>
      <w:pPr>
        <w:pStyle w:val="TOC2"/>
        <w:rPr>
          <w:rFonts w:ascii="Calibri" w:hAnsi="Calibri"/>
          <w:noProof/>
          <w:sz w:val="22"/>
        </w:rPr>
      </w:pPr>
      <w:r>
        <w:fldChar w:fldCharType="begin"/>
      </w:r>
      <w:r>
        <w:instrText xml:space="preserve"> HYPERLINK \l "_Toc256000231" </w:instrText>
      </w:r>
      <w:r>
        <w:fldChar w:fldCharType="separate"/>
      </w:r>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_Toc256000231 \h </w:instrText>
      </w:r>
      <w:r>
        <w:fldChar w:fldCharType="separate"/>
      </w:r>
      <w:r>
        <w:t>802</w:t>
      </w:r>
      <w:r>
        <w:fldChar w:fldCharType="end"/>
      </w:r>
      <w:r>
        <w:fldChar w:fldCharType="end"/>
      </w:r>
    </w:p>
    <w:p>
      <w:pPr>
        <w:pStyle w:val="TOC3"/>
        <w:rPr>
          <w:rFonts w:ascii="Calibri" w:hAnsi="Calibri"/>
          <w:noProof/>
          <w:sz w:val="22"/>
        </w:rPr>
      </w:pPr>
      <w:r>
        <w:fldChar w:fldCharType="begin"/>
      </w:r>
      <w:r>
        <w:instrText xml:space="preserve"> HYPERLINK \l "_Toc256000232" </w:instrText>
      </w:r>
      <w:r>
        <w:fldChar w:fldCharType="separate"/>
      </w:r>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_Toc256000232 \h </w:instrText>
      </w:r>
      <w:r>
        <w:fldChar w:fldCharType="separate"/>
      </w:r>
      <w:r>
        <w:t>802</w:t>
      </w:r>
      <w:r>
        <w:fldChar w:fldCharType="end"/>
      </w:r>
      <w:r>
        <w:fldChar w:fldCharType="end"/>
      </w:r>
    </w:p>
    <w:p>
      <w:pPr>
        <w:pStyle w:val="TOC3"/>
        <w:rPr>
          <w:rFonts w:ascii="Calibri" w:hAnsi="Calibri"/>
          <w:noProof/>
          <w:sz w:val="22"/>
        </w:rPr>
      </w:pPr>
      <w:r>
        <w:fldChar w:fldCharType="begin"/>
      </w:r>
      <w:r>
        <w:instrText xml:space="preserve"> HYPERLINK \l "_Toc256000233" </w:instrText>
      </w:r>
      <w:r>
        <w:fldChar w:fldCharType="separate"/>
      </w:r>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_Toc256000233 \h </w:instrText>
      </w:r>
      <w:r>
        <w:fldChar w:fldCharType="separate"/>
      </w:r>
      <w:r>
        <w:t>802</w:t>
      </w:r>
      <w:r>
        <w:fldChar w:fldCharType="end"/>
      </w:r>
      <w:r>
        <w:fldChar w:fldCharType="end"/>
      </w:r>
    </w:p>
    <w:p>
      <w:pPr>
        <w:pStyle w:val="TOC2"/>
        <w:rPr>
          <w:rFonts w:ascii="Calibri" w:hAnsi="Calibri"/>
          <w:noProof/>
          <w:sz w:val="22"/>
        </w:rPr>
      </w:pPr>
      <w:r>
        <w:fldChar w:fldCharType="begin"/>
      </w:r>
      <w:r>
        <w:instrText xml:space="preserve"> HYPERLINK \l "_Toc256000234" </w:instrText>
      </w:r>
      <w:r>
        <w:fldChar w:fldCharType="separate"/>
      </w:r>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_Toc256000234 \h </w:instrText>
      </w:r>
      <w:r>
        <w:fldChar w:fldCharType="separate"/>
      </w:r>
      <w:r>
        <w:t>802</w:t>
      </w:r>
      <w:r>
        <w:fldChar w:fldCharType="end"/>
      </w:r>
      <w:r>
        <w:fldChar w:fldCharType="end"/>
      </w:r>
    </w:p>
    <w:p>
      <w:pPr>
        <w:pStyle w:val="TOC3"/>
        <w:rPr>
          <w:rFonts w:ascii="Calibri" w:hAnsi="Calibri"/>
          <w:noProof/>
          <w:sz w:val="22"/>
        </w:rPr>
      </w:pPr>
      <w:r>
        <w:fldChar w:fldCharType="begin"/>
      </w:r>
      <w:r>
        <w:instrText xml:space="preserve"> HYPERLINK \l "_Toc256000235" </w:instrText>
      </w:r>
      <w:r>
        <w:fldChar w:fldCharType="separate"/>
      </w:r>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_Toc256000235 \h </w:instrText>
      </w:r>
      <w:r>
        <w:fldChar w:fldCharType="separate"/>
      </w:r>
      <w:r>
        <w:t>802</w:t>
      </w:r>
      <w:r>
        <w:fldChar w:fldCharType="end"/>
      </w:r>
      <w:r>
        <w:fldChar w:fldCharType="end"/>
      </w:r>
    </w:p>
    <w:p>
      <w:pPr>
        <w:pStyle w:val="TOC3"/>
        <w:rPr>
          <w:rFonts w:ascii="Calibri" w:hAnsi="Calibri"/>
          <w:noProof/>
          <w:sz w:val="22"/>
        </w:rPr>
      </w:pPr>
      <w:r>
        <w:fldChar w:fldCharType="begin"/>
      </w:r>
      <w:r>
        <w:instrText xml:space="preserve"> HYPERLINK \l "_Toc256000236" </w:instrText>
      </w:r>
      <w:r>
        <w:fldChar w:fldCharType="separate"/>
      </w:r>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_Toc256000236 \h </w:instrText>
      </w:r>
      <w:r>
        <w:fldChar w:fldCharType="separate"/>
      </w:r>
      <w:r>
        <w:t>802</w:t>
      </w:r>
      <w:r>
        <w:fldChar w:fldCharType="end"/>
      </w:r>
      <w:r>
        <w:fldChar w:fldCharType="end"/>
      </w:r>
    </w:p>
    <w:p>
      <w:pPr>
        <w:pStyle w:val="TOC2"/>
        <w:rPr>
          <w:rFonts w:ascii="Calibri" w:hAnsi="Calibri"/>
          <w:noProof/>
          <w:sz w:val="22"/>
        </w:rPr>
      </w:pPr>
      <w:r>
        <w:fldChar w:fldCharType="begin"/>
      </w:r>
      <w:r>
        <w:instrText xml:space="preserve"> HYPERLINK \l "_Toc256000237" </w:instrText>
      </w:r>
      <w:r>
        <w:fldChar w:fldCharType="separate"/>
      </w:r>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_Toc256000237 \h </w:instrText>
      </w:r>
      <w:r>
        <w:fldChar w:fldCharType="separate"/>
      </w:r>
      <w:r>
        <w:t>803</w:t>
      </w:r>
      <w:r>
        <w:fldChar w:fldCharType="end"/>
      </w:r>
      <w:r>
        <w:fldChar w:fldCharType="end"/>
      </w:r>
    </w:p>
    <w:p>
      <w:pPr>
        <w:pStyle w:val="TOC3"/>
        <w:rPr>
          <w:rFonts w:ascii="Calibri" w:hAnsi="Calibri"/>
          <w:noProof/>
          <w:sz w:val="22"/>
        </w:rPr>
      </w:pPr>
      <w:r>
        <w:fldChar w:fldCharType="begin"/>
      </w:r>
      <w:r>
        <w:instrText xml:space="preserve"> HYPERLINK \l "_Toc256000238" </w:instrText>
      </w:r>
      <w:r>
        <w:fldChar w:fldCharType="separate"/>
      </w:r>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_Toc256000238 \h </w:instrText>
      </w:r>
      <w:r>
        <w:fldChar w:fldCharType="separate"/>
      </w:r>
      <w:r>
        <w:t>803</w:t>
      </w:r>
      <w:r>
        <w:fldChar w:fldCharType="end"/>
      </w:r>
      <w:r>
        <w:fldChar w:fldCharType="end"/>
      </w:r>
    </w:p>
    <w:p>
      <w:pPr>
        <w:pStyle w:val="TOC3"/>
        <w:rPr>
          <w:rFonts w:ascii="Calibri" w:hAnsi="Calibri"/>
          <w:noProof/>
          <w:sz w:val="22"/>
        </w:rPr>
      </w:pPr>
      <w:r>
        <w:fldChar w:fldCharType="begin"/>
      </w:r>
      <w:r>
        <w:instrText xml:space="preserve"> HYPERLINK \l "_Toc256000239" </w:instrText>
      </w:r>
      <w:r>
        <w:fldChar w:fldCharType="separate"/>
      </w:r>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_Toc256000239 \h </w:instrText>
      </w:r>
      <w:r>
        <w:fldChar w:fldCharType="separate"/>
      </w:r>
      <w:r>
        <w:t>803</w:t>
      </w:r>
      <w:r>
        <w:fldChar w:fldCharType="end"/>
      </w:r>
      <w:r>
        <w:fldChar w:fldCharType="end"/>
      </w:r>
    </w:p>
    <w:p>
      <w:pPr>
        <w:pStyle w:val="TOC2"/>
        <w:rPr>
          <w:rFonts w:ascii="Calibri" w:hAnsi="Calibri"/>
          <w:noProof/>
          <w:sz w:val="22"/>
        </w:rPr>
      </w:pPr>
      <w:r>
        <w:fldChar w:fldCharType="begin"/>
      </w:r>
      <w:r>
        <w:instrText xml:space="preserve"> HYPERLINK \l "_Toc256000240" </w:instrText>
      </w:r>
      <w:r>
        <w:fldChar w:fldCharType="separate"/>
      </w:r>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_Toc256000240 \h </w:instrText>
      </w:r>
      <w:r>
        <w:fldChar w:fldCharType="separate"/>
      </w:r>
      <w:r>
        <w:t>803</w:t>
      </w:r>
      <w:r>
        <w:fldChar w:fldCharType="end"/>
      </w:r>
      <w:r>
        <w:fldChar w:fldCharType="end"/>
      </w:r>
    </w:p>
    <w:p>
      <w:pPr>
        <w:pStyle w:val="TOC3"/>
        <w:rPr>
          <w:rFonts w:ascii="Calibri" w:hAnsi="Calibri"/>
          <w:noProof/>
          <w:sz w:val="22"/>
        </w:rPr>
      </w:pPr>
      <w:r>
        <w:fldChar w:fldCharType="begin"/>
      </w:r>
      <w:r>
        <w:instrText xml:space="preserve"> HYPERLINK \l "_Toc256000241" </w:instrText>
      </w:r>
      <w:r>
        <w:fldChar w:fldCharType="separate"/>
      </w:r>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_Toc256000241 \h </w:instrText>
      </w:r>
      <w:r>
        <w:fldChar w:fldCharType="separate"/>
      </w:r>
      <w:r>
        <w:t>803</w:t>
      </w:r>
      <w:r>
        <w:fldChar w:fldCharType="end"/>
      </w:r>
      <w:r>
        <w:fldChar w:fldCharType="end"/>
      </w:r>
    </w:p>
    <w:p>
      <w:pPr>
        <w:pStyle w:val="TOC3"/>
        <w:rPr>
          <w:rFonts w:ascii="Calibri" w:hAnsi="Calibri"/>
          <w:noProof/>
          <w:sz w:val="22"/>
        </w:rPr>
      </w:pPr>
      <w:r>
        <w:fldChar w:fldCharType="begin"/>
      </w:r>
      <w:r>
        <w:instrText xml:space="preserve"> HYPERLINK \l "_Toc256000242" </w:instrText>
      </w:r>
      <w:r>
        <w:fldChar w:fldCharType="separate"/>
      </w:r>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_Toc256000242 \h </w:instrText>
      </w:r>
      <w:r>
        <w:fldChar w:fldCharType="separate"/>
      </w:r>
      <w:r>
        <w:t>803</w:t>
      </w:r>
      <w:r>
        <w:fldChar w:fldCharType="end"/>
      </w:r>
      <w:r>
        <w:fldChar w:fldCharType="end"/>
      </w:r>
    </w:p>
    <w:p>
      <w:pPr>
        <w:pStyle w:val="TOC2"/>
        <w:rPr>
          <w:rFonts w:ascii="Calibri" w:hAnsi="Calibri"/>
          <w:noProof/>
          <w:sz w:val="22"/>
        </w:rPr>
      </w:pPr>
      <w:r>
        <w:fldChar w:fldCharType="begin"/>
      </w:r>
      <w:r>
        <w:instrText xml:space="preserve"> HYPERLINK \l "_Toc256000243" </w:instrText>
      </w:r>
      <w:r>
        <w:fldChar w:fldCharType="separate"/>
      </w:r>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_Toc256000243 \h </w:instrText>
      </w:r>
      <w:r>
        <w:fldChar w:fldCharType="separate"/>
      </w:r>
      <w:r>
        <w:t>804</w:t>
      </w:r>
      <w:r>
        <w:fldChar w:fldCharType="end"/>
      </w:r>
      <w:r>
        <w:fldChar w:fldCharType="end"/>
      </w:r>
    </w:p>
    <w:p>
      <w:pPr>
        <w:pStyle w:val="TOC3"/>
        <w:rPr>
          <w:rFonts w:ascii="Calibri" w:hAnsi="Calibri"/>
          <w:noProof/>
          <w:sz w:val="22"/>
        </w:rPr>
      </w:pPr>
      <w:r>
        <w:fldChar w:fldCharType="begin"/>
      </w:r>
      <w:r>
        <w:instrText xml:space="preserve"> HYPERLINK \l "_Toc256000244" </w:instrText>
      </w:r>
      <w:r>
        <w:fldChar w:fldCharType="separate"/>
      </w:r>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_Toc256000244 \h </w:instrText>
      </w:r>
      <w:r>
        <w:fldChar w:fldCharType="separate"/>
      </w:r>
      <w:r>
        <w:t>804</w:t>
      </w:r>
      <w:r>
        <w:fldChar w:fldCharType="end"/>
      </w:r>
      <w:r>
        <w:fldChar w:fldCharType="end"/>
      </w:r>
    </w:p>
    <w:p>
      <w:pPr>
        <w:pStyle w:val="TOC3"/>
        <w:rPr>
          <w:rFonts w:ascii="Calibri" w:hAnsi="Calibri"/>
          <w:noProof/>
          <w:sz w:val="22"/>
        </w:rPr>
      </w:pPr>
      <w:r>
        <w:fldChar w:fldCharType="begin"/>
      </w:r>
      <w:r>
        <w:instrText xml:space="preserve"> HYPERLINK \l "_Toc256000245" </w:instrText>
      </w:r>
      <w:r>
        <w:fldChar w:fldCharType="separate"/>
      </w:r>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_Toc256000245 \h </w:instrText>
      </w:r>
      <w:r>
        <w:fldChar w:fldCharType="separate"/>
      </w:r>
      <w:r>
        <w:t>804</w:t>
      </w:r>
      <w:r>
        <w:fldChar w:fldCharType="end"/>
      </w:r>
      <w:r>
        <w:fldChar w:fldCharType="end"/>
      </w:r>
    </w:p>
    <w:p>
      <w:pPr>
        <w:pStyle w:val="TOC2"/>
        <w:rPr>
          <w:rFonts w:ascii="Calibri" w:hAnsi="Calibri"/>
          <w:noProof/>
          <w:sz w:val="22"/>
        </w:rPr>
      </w:pPr>
      <w:r>
        <w:fldChar w:fldCharType="begin"/>
      </w:r>
      <w:r>
        <w:instrText xml:space="preserve"> HYPERLINK \l "_Toc256000246" </w:instrText>
      </w:r>
      <w:r>
        <w:fldChar w:fldCharType="separate"/>
      </w:r>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_Toc256000246 \h </w:instrText>
      </w:r>
      <w:r>
        <w:fldChar w:fldCharType="separate"/>
      </w:r>
      <w:r>
        <w:t>804</w:t>
      </w:r>
      <w:r>
        <w:fldChar w:fldCharType="end"/>
      </w:r>
      <w:r>
        <w:fldChar w:fldCharType="end"/>
      </w:r>
    </w:p>
    <w:p>
      <w:pPr>
        <w:pStyle w:val="TOC3"/>
        <w:rPr>
          <w:rFonts w:ascii="Calibri" w:hAnsi="Calibri"/>
          <w:noProof/>
          <w:sz w:val="22"/>
        </w:rPr>
      </w:pPr>
      <w:r>
        <w:fldChar w:fldCharType="begin"/>
      </w:r>
      <w:r>
        <w:instrText xml:space="preserve"> HYPERLINK \l "_Toc256000247" </w:instrText>
      </w:r>
      <w:r>
        <w:fldChar w:fldCharType="separate"/>
      </w:r>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_Toc256000247 \h </w:instrText>
      </w:r>
      <w:r>
        <w:fldChar w:fldCharType="separate"/>
      </w:r>
      <w:r>
        <w:t>804</w:t>
      </w:r>
      <w:r>
        <w:fldChar w:fldCharType="end"/>
      </w:r>
      <w:r>
        <w:fldChar w:fldCharType="end"/>
      </w:r>
    </w:p>
    <w:p>
      <w:pPr>
        <w:pStyle w:val="TOC3"/>
        <w:rPr>
          <w:rFonts w:ascii="Calibri" w:hAnsi="Calibri"/>
          <w:noProof/>
          <w:sz w:val="22"/>
        </w:rPr>
      </w:pPr>
      <w:r>
        <w:fldChar w:fldCharType="begin"/>
      </w:r>
      <w:r>
        <w:instrText xml:space="preserve"> HYPERLINK \l "_Toc256000248" </w:instrText>
      </w:r>
      <w:r>
        <w:fldChar w:fldCharType="separate"/>
      </w:r>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_Toc256000248 \h </w:instrText>
      </w:r>
      <w:r>
        <w:fldChar w:fldCharType="separate"/>
      </w:r>
      <w:r>
        <w:t>804</w:t>
      </w:r>
      <w:r>
        <w:fldChar w:fldCharType="end"/>
      </w:r>
      <w:r>
        <w:fldChar w:fldCharType="end"/>
      </w:r>
    </w:p>
    <w:p>
      <w:pPr>
        <w:pStyle w:val="TOC2"/>
        <w:rPr>
          <w:rFonts w:ascii="Calibri" w:hAnsi="Calibri"/>
          <w:noProof/>
          <w:sz w:val="22"/>
        </w:rPr>
      </w:pPr>
      <w:r>
        <w:fldChar w:fldCharType="begin"/>
      </w:r>
      <w:r>
        <w:instrText xml:space="preserve"> HYPERLINK \l "_Toc256000249" </w:instrText>
      </w:r>
      <w:r>
        <w:fldChar w:fldCharType="separate"/>
      </w:r>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_Toc256000249 \h </w:instrText>
      </w:r>
      <w:r>
        <w:fldChar w:fldCharType="separate"/>
      </w:r>
      <w:r>
        <w:t>804</w:t>
      </w:r>
      <w:r>
        <w:fldChar w:fldCharType="end"/>
      </w:r>
      <w:r>
        <w:fldChar w:fldCharType="end"/>
      </w:r>
    </w:p>
    <w:p>
      <w:pPr>
        <w:pStyle w:val="TOC1"/>
        <w:rPr>
          <w:rFonts w:ascii="Calibri" w:hAnsi="Calibri"/>
          <w:noProof/>
          <w:sz w:val="22"/>
        </w:rPr>
      </w:pPr>
      <w:r>
        <w:fldChar w:fldCharType="begin"/>
      </w:r>
      <w:r>
        <w:instrText xml:space="preserve"> HYPERLINK \l "_Toc256000250" </w:instrText>
      </w:r>
      <w:r>
        <w:fldChar w:fldCharType="separate"/>
      </w:r>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_Toc256000250 \h </w:instrText>
      </w:r>
      <w:r>
        <w:fldChar w:fldCharType="separate"/>
      </w:r>
      <w:r>
        <w:t>808</w:t>
      </w:r>
      <w:r>
        <w:fldChar w:fldCharType="end"/>
      </w:r>
      <w:r>
        <w:fldChar w:fldCharType="end"/>
      </w:r>
    </w:p>
    <w:p>
      <w:pPr>
        <w:pStyle w:val="TOC2"/>
        <w:rPr>
          <w:rFonts w:ascii="Calibri" w:hAnsi="Calibri"/>
          <w:noProof/>
          <w:sz w:val="22"/>
        </w:rPr>
      </w:pPr>
      <w:r>
        <w:fldChar w:fldCharType="begin"/>
      </w:r>
      <w:r>
        <w:instrText xml:space="preserve"> HYPERLINK \l "_Toc256000251" </w:instrText>
      </w:r>
      <w:r>
        <w:fldChar w:fldCharType="separate"/>
      </w:r>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_Toc256000251 \h </w:instrText>
      </w:r>
      <w:r>
        <w:fldChar w:fldCharType="separate"/>
      </w:r>
      <w:r>
        <w:t>808</w:t>
      </w:r>
      <w:r>
        <w:fldChar w:fldCharType="end"/>
      </w:r>
      <w:r>
        <w:fldChar w:fldCharType="end"/>
      </w:r>
    </w:p>
    <w:p>
      <w:pPr>
        <w:pStyle w:val="TOC2"/>
        <w:rPr>
          <w:rFonts w:ascii="Calibri" w:hAnsi="Calibri"/>
          <w:noProof/>
          <w:sz w:val="22"/>
        </w:rPr>
      </w:pPr>
      <w:r>
        <w:fldChar w:fldCharType="begin"/>
      </w:r>
      <w:r>
        <w:instrText xml:space="preserve"> HYPERLINK \l "_Toc256000252" </w:instrText>
      </w:r>
      <w:r>
        <w:fldChar w:fldCharType="separate"/>
      </w:r>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_Toc256000252 \h </w:instrText>
      </w:r>
      <w:r>
        <w:fldChar w:fldCharType="separate"/>
      </w:r>
      <w:r>
        <w:t>808</w:t>
      </w:r>
      <w:r>
        <w:fldChar w:fldCharType="end"/>
      </w:r>
      <w:r>
        <w:fldChar w:fldCharType="end"/>
      </w:r>
    </w:p>
    <w:p>
      <w:pPr>
        <w:pStyle w:val="TOC2"/>
        <w:rPr>
          <w:rFonts w:ascii="Calibri" w:hAnsi="Calibri"/>
          <w:noProof/>
          <w:sz w:val="22"/>
        </w:rPr>
      </w:pPr>
      <w:r>
        <w:fldChar w:fldCharType="begin"/>
      </w:r>
      <w:r>
        <w:instrText xml:space="preserve"> HYPERLINK \l "_Toc256000253" </w:instrText>
      </w:r>
      <w:r>
        <w:fldChar w:fldCharType="separate"/>
      </w:r>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_Toc256000253 \h </w:instrText>
      </w:r>
      <w:r>
        <w:fldChar w:fldCharType="separate"/>
      </w:r>
      <w:r>
        <w:t>810</w:t>
      </w:r>
      <w:r>
        <w:fldChar w:fldCharType="end"/>
      </w:r>
      <w:r>
        <w:fldChar w:fldCharType="end"/>
      </w:r>
    </w:p>
    <w:p>
      <w:pPr>
        <w:pStyle w:val="TOC2"/>
        <w:rPr>
          <w:rFonts w:ascii="Calibri" w:hAnsi="Calibri"/>
          <w:noProof/>
          <w:sz w:val="22"/>
        </w:rPr>
      </w:pPr>
      <w:r>
        <w:fldChar w:fldCharType="begin"/>
      </w:r>
      <w:r>
        <w:instrText xml:space="preserve"> HYPERLINK \l "_Toc256000254" </w:instrText>
      </w:r>
      <w:r>
        <w:fldChar w:fldCharType="separate"/>
      </w:r>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_Toc256000254 \h </w:instrText>
      </w:r>
      <w:r>
        <w:fldChar w:fldCharType="separate"/>
      </w:r>
      <w:r>
        <w:t>816</w:t>
      </w:r>
      <w:r>
        <w:fldChar w:fldCharType="end"/>
      </w:r>
      <w:r>
        <w:fldChar w:fldCharType="end"/>
      </w:r>
    </w:p>
    <w:p>
      <w:pPr>
        <w:pStyle w:val="TOC1"/>
        <w:rPr>
          <w:rFonts w:ascii="Calibri" w:hAnsi="Calibri"/>
          <w:noProof/>
          <w:sz w:val="22"/>
        </w:rPr>
      </w:pPr>
      <w:r>
        <w:fldChar w:fldCharType="begin"/>
      </w:r>
      <w:r>
        <w:instrText xml:space="preserve"> HYPERLINK \l "_Toc256000255" </w:instrText>
      </w:r>
      <w:r>
        <w:fldChar w:fldCharType="separate"/>
      </w:r>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_Toc256000255 \h </w:instrText>
      </w:r>
      <w:r>
        <w:fldChar w:fldCharType="separate"/>
      </w:r>
      <w:r>
        <w:t>817</w:t>
      </w:r>
      <w:r>
        <w:fldChar w:fldCharType="end"/>
      </w:r>
      <w:r>
        <w:fldChar w:fldCharType="end"/>
      </w:r>
    </w:p>
    <w:p>
      <w:pPr>
        <w:pStyle w:val="TOC2"/>
        <w:rPr>
          <w:rFonts w:ascii="Calibri" w:hAnsi="Calibri"/>
          <w:noProof/>
          <w:sz w:val="22"/>
        </w:rPr>
      </w:pPr>
      <w:r>
        <w:fldChar w:fldCharType="begin"/>
      </w:r>
      <w:r>
        <w:instrText xml:space="preserve"> HYPERLINK \l "_Toc256000256" </w:instrText>
      </w:r>
      <w:r>
        <w:fldChar w:fldCharType="separate"/>
      </w:r>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_Toc256000256 \h </w:instrText>
      </w:r>
      <w:r>
        <w:fldChar w:fldCharType="separate"/>
      </w:r>
      <w:r>
        <w:t>817</w:t>
      </w:r>
      <w:r>
        <w:fldChar w:fldCharType="end"/>
      </w:r>
      <w:r>
        <w:fldChar w:fldCharType="end"/>
      </w:r>
    </w:p>
    <w:p>
      <w:pPr>
        <w:pStyle w:val="TOC2"/>
        <w:rPr>
          <w:rFonts w:ascii="Calibri" w:hAnsi="Calibri"/>
          <w:noProof/>
          <w:sz w:val="22"/>
        </w:rPr>
      </w:pPr>
      <w:r>
        <w:fldChar w:fldCharType="begin"/>
      </w:r>
      <w:r>
        <w:instrText xml:space="preserve"> HYPERLINK \l "_Toc256000257" </w:instrText>
      </w:r>
      <w:r>
        <w:fldChar w:fldCharType="separate"/>
      </w:r>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_Toc256000257 \h </w:instrText>
      </w:r>
      <w:r>
        <w:fldChar w:fldCharType="separate"/>
      </w:r>
      <w:r>
        <w:t>818</w:t>
      </w:r>
      <w:r>
        <w:fldChar w:fldCharType="end"/>
      </w:r>
      <w:r>
        <w:fldChar w:fldCharType="end"/>
      </w:r>
    </w:p>
    <w:p>
      <w:pPr>
        <w:pStyle w:val="TOC1"/>
        <w:rPr>
          <w:rFonts w:ascii="Calibri" w:hAnsi="Calibri"/>
          <w:noProof/>
          <w:sz w:val="22"/>
        </w:rPr>
      </w:pPr>
      <w:r>
        <w:fldChar w:fldCharType="begin"/>
      </w:r>
      <w:r>
        <w:instrText xml:space="preserve"> HYPERLINK \l "_Toc256000258" </w:instrText>
      </w:r>
      <w:r>
        <w:fldChar w:fldCharType="separate"/>
      </w:r>
      <w:r>
        <w:rPr>
          <w:rStyle w:val="Hyperlink"/>
        </w:rPr>
        <w:t>19.</w:t>
      </w:r>
      <w:r>
        <w:rPr>
          <w:rStyle w:val="Hyperlink"/>
        </w:rPr>
        <w:t xml:space="preserve"> </w:t>
      </w:r>
      <w:r>
        <w:rPr>
          <w:rStyle w:val="Hyperlink"/>
        </w:rPr>
        <w:t>Преходни условия</w:t>
      </w:r>
      <w:r>
        <w:tab/>
      </w:r>
      <w:r>
        <w:fldChar w:fldCharType="begin"/>
      </w:r>
      <w:r>
        <w:instrText xml:space="preserve"> PAGEREF _Toc256000258 \h </w:instrText>
      </w:r>
      <w:r>
        <w:fldChar w:fldCharType="separate"/>
      </w:r>
      <w:r>
        <w:t>820</w:t>
      </w:r>
      <w:r>
        <w:fldChar w:fldCharType="end"/>
      </w:r>
      <w:r>
        <w:fldChar w:fldCharType="end"/>
      </w:r>
    </w:p>
    <w:p>
      <w:pPr>
        <w:pStyle w:val="TOC2"/>
        <w:rPr>
          <w:rFonts w:ascii="Calibri" w:hAnsi="Calibri"/>
          <w:noProof/>
          <w:sz w:val="22"/>
        </w:rPr>
      </w:pPr>
      <w:r>
        <w:fldChar w:fldCharType="begin"/>
      </w:r>
      <w:r>
        <w:instrText xml:space="preserve"> HYPERLINK \l "_Toc256000259" </w:instrText>
      </w:r>
      <w:r>
        <w:fldChar w:fldCharType="separate"/>
      </w:r>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_Toc256000259 \h </w:instrText>
      </w:r>
      <w:r>
        <w:fldChar w:fldCharType="separate"/>
      </w:r>
      <w:r>
        <w:t>820</w:t>
      </w:r>
      <w:r>
        <w:fldChar w:fldCharType="end"/>
      </w:r>
      <w:r>
        <w:fldChar w:fldCharType="end"/>
      </w:r>
    </w:p>
    <w:p>
      <w:pPr>
        <w:pStyle w:val="TOC2"/>
        <w:rPr>
          <w:rFonts w:ascii="Calibri" w:hAnsi="Calibri"/>
          <w:noProof/>
          <w:sz w:val="22"/>
        </w:rPr>
      </w:pPr>
      <w:r>
        <w:fldChar w:fldCharType="begin"/>
      </w:r>
      <w:r>
        <w:instrText xml:space="preserve"> HYPERLINK \l "_Toc256000260" </w:instrText>
      </w:r>
      <w:r>
        <w:fldChar w:fldCharType="separate"/>
      </w:r>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_Toc256000260 \h </w:instrText>
      </w:r>
      <w:r>
        <w:fldChar w:fldCharType="separate"/>
      </w:r>
      <w:r>
        <w:t>822</w:t>
      </w:r>
      <w:r>
        <w:fldChar w:fldCharType="end"/>
      </w:r>
      <w:r>
        <w:fldChar w:fldCharType="end"/>
      </w:r>
    </w:p>
    <w:p>
      <w:pPr>
        <w:pStyle w:val="TOC1"/>
        <w:rPr>
          <w:rFonts w:ascii="Calibri" w:hAnsi="Calibri"/>
          <w:noProof/>
          <w:sz w:val="22"/>
        </w:rPr>
      </w:pPr>
      <w:r>
        <w:fldChar w:fldCharType="begin"/>
      </w:r>
      <w:r>
        <w:instrText xml:space="preserve"> HYPERLINK \l "_Toc256000261" </w:instrText>
      </w:r>
      <w:r>
        <w:fldChar w:fldCharType="separate"/>
      </w:r>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_Toc256000261 \h </w:instrText>
      </w:r>
      <w:r>
        <w:fldChar w:fldCharType="separate"/>
      </w:r>
      <w:r>
        <w:t>824</w:t>
      </w:r>
      <w:r>
        <w:fldChar w:fldCharType="end"/>
      </w:r>
      <w:r>
        <w:fldChar w:fldCharType="end"/>
      </w:r>
    </w:p>
    <w:p>
      <w:pPr>
        <w:pStyle w:val="TOC1"/>
        <w:rPr>
          <w:rFonts w:ascii="Calibri" w:hAnsi="Calibri"/>
          <w:noProof/>
          <w:sz w:val="22"/>
        </w:rPr>
      </w:pPr>
      <w:r>
        <w:fldChar w:fldCharType="begin"/>
      </w:r>
      <w:r>
        <w:instrText xml:space="preserve"> HYPERLINK \l "_Toc256000262" </w:instrText>
      </w:r>
      <w:r>
        <w:fldChar w:fldCharType="separate"/>
      </w:r>
      <w:r>
        <w:rPr>
          <w:rStyle w:val="Hyperlink"/>
        </w:rPr>
        <w:t>21.</w:t>
      </w:r>
      <w:r>
        <w:rPr>
          <w:rStyle w:val="Hyperlink"/>
        </w:rPr>
        <w:t xml:space="preserve"> </w:t>
      </w:r>
      <w:r>
        <w:rPr>
          <w:rStyle w:val="Hyperlink"/>
        </w:rPr>
        <w:t>Документи</w:t>
      </w:r>
      <w:r>
        <w:tab/>
      </w:r>
      <w:r>
        <w:fldChar w:fldCharType="begin"/>
      </w:r>
      <w:r>
        <w:instrText xml:space="preserve"> PAGEREF _Toc256000262 \h </w:instrText>
      </w:r>
      <w:r>
        <w:fldChar w:fldCharType="separate"/>
      </w:r>
      <w:r>
        <w:t>825</w:t>
      </w:r>
      <w:r>
        <w:fldChar w:fldCharType="end"/>
      </w:r>
      <w:r>
        <w:fldChar w:fldCharType="end"/>
      </w:r>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г. Уведомление по член 11, буква б), втора алинея</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09-12-2016</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КН одобри предложението на УО на ПРСР за 3-то допълнение и изменение на Програмата за развитие на селските райони 2014-2020 г.) и упълномощи Управляващия Орган на Програмата да го изпрати официално (чрез SFC) на Европейската Комисия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I. Промени в одобрения текст на подмярка 7.2 „Инвестиции в създаването, подобряването или разширяването на всички видове малка по мащаби инфраструктура“. В подраздел 8.2.5.3.1.2 „Вид подкрепа“ се приемат следните изменения:</w:t>
            </w:r>
          </w:p>
          <w:p>
            <w:pPr>
              <w:numPr>
                <w:ilvl w:val="0"/>
                <w:numId w:val="2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II. Промени в одобрения текст на мярка 7 „Основни услуги и обновяване на селата в селските райони“. В раздел 8.2.5.7 „Друга важна информация, необходима за по-доброто разбиране и прилагане на мярката“ се приемат следните изменения:</w:t>
            </w:r>
          </w:p>
          <w:p>
            <w:pPr>
              <w:numPr>
                <w:ilvl w:val="0"/>
                <w:numId w:val="2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Оперативна програма „Региони в растеж“ по процедура BG16RFOP001-3.002 „Подкрепа за професионалните училища в Република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 3.2 КН одобри предложението на УО на ПРСР за 3-то изменение и допълнение на Програмата за развитие на селските райони 2014-2020 г. в одобрения текст  на подмярка 4.2 „Инвестиции в преработка/маркетинг на селскостопански продукти“ и упълномощи Управляващия Орган на Програмата да го изпрати официално (чрез SFC) на Европейската Комисия, както следва:</w:t>
            </w:r>
          </w:p>
          <w:p>
            <w:pPr>
              <w:numPr>
                <w:ilvl w:val="0"/>
                <w:numId w:val="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Максималният размер на допустимите разходи за един кандидат за периода на прилагане на Програмата е в рамките на   2 000 000 евро.</w:t>
            </w:r>
          </w:p>
          <w:p>
            <w:pPr>
              <w:numPr>
                <w:ilvl w:val="0"/>
                <w:numId w:val="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numPr>
                <w:ilvl w:val="0"/>
                <w:numId w:val="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Промени в текстовете на Мярка 4 и Мярка 7</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Мотиви за предложените промени в подмярка 4.2 от Мярка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направен анализ се налага извода, че проектните предложения, в рамките на които са заявени разходи в размер на над 2 млн. евро, ще ангажират значителен финансов ресурс в рамките на периода на прием и ще ограничат възможността за подпомагане на останалите заявления, които в не по-малка степен допринасят за постигане на целите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Мотиви за предложените промени в подмярка 7.2 от Мярка 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измененията в </w:t>
            </w:r>
            <w:r>
              <w:rPr>
                <w:rStyle w:val="DefaultParagraphFont"/>
                <w:rFonts w:ascii="Times New Roman" w:eastAsia="Times New Roman" w:hAnsi="Times New Roman" w:cs="Times New Roman"/>
                <w:b/>
                <w:bCs/>
                <w:szCs w:val="24"/>
                <w:u w:val="single"/>
              </w:rPr>
              <w:t>подраздел 8.2.5.3.1.2 „Вид подкрепа“</w:t>
            </w:r>
            <w:r>
              <w:rPr>
                <w:rStyle w:val="DefaultParagraphFont"/>
                <w:rFonts w:ascii="Times New Roman" w:eastAsia="Times New Roman" w:hAnsi="Times New Roman" w:cs="Times New Roman"/>
                <w:b/>
                <w:bCs/>
                <w:szCs w:val="24"/>
              </w:rPr>
              <w:t> от подмярка 7.2 „Инвестиции в създаването, подобряването или разширяването на всички видове малка по мащаби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Състоянието на спортните обекти като част от образователната инфраструктура в общо 2 390 училища в Република България е както следва: едва 1 533 училища разполагат със стандартни физкултурни салони, което представлява 64% от общия разглеждан брой от 2 390 училища. Голяма част училищата с изградена спортна инфраструктура са разположени в големите градове (областни центрове и общини). В общините от селските райони училищните физкултурни салони в 560 училища са помещения, които са пригодени за спортни занимания. Същите са маломерни и не отговарят на стандартите и на нуждите на децата за да могат да развиват умения за устойчиво развитие и за здравословен начин на живот и спорт. В общо 264 училища няма изграден физкултурен салон, като от тях 131 училища разполагат със свободни площи, на които има възможност да се изградят физкултурни салони и/или спортни площадки.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измененията в</w:t>
            </w: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b/>
                <w:bCs/>
                <w:szCs w:val="24"/>
                <w:u w:val="single"/>
              </w:rPr>
              <w:t>раздел 8.2.5.7 „Друга важна информация, необходима за по-доброто разбиране и прилагане на мярката“</w:t>
            </w:r>
            <w:r>
              <w:rPr>
                <w:rStyle w:val="DefaultParagraphFont"/>
                <w:rFonts w:ascii="Times New Roman" w:eastAsia="Times New Roman" w:hAnsi="Times New Roman" w:cs="Times New Roman"/>
                <w:b/>
                <w:bCs/>
                <w:szCs w:val="24"/>
              </w:rPr>
              <w:t> от мярка 7 „Основни услуги и обновяване на селата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 10 от Преходните и заключителни разпоредби на Закона за предучилищното и училищно образование (обн. ДВ. бр. 79 от 2015 г., в сила от 1.08.2016 г.) държавните професионалните гимназии, които бяха финансирани от Министерството на земеделието и храните, стават общински. По подмярка 7.2 се предоставя безвъзмездна финансова помощ за реконструкция, ремонт, оборудване и/или обзавеждане на общинска образователна инфраструктура с местно значение в селските райони. В резултат на настъпилите законодателни промени държавните професионални училища, които се финансираха от Министерството на земеделието и храните придобиха статута на общинска образователна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относно измененията може да бъде намерена в раздел "документи"</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Очаквани ефекти от предложените промени в подмярка 4.2 от Мярка 4:</w:t>
            </w:r>
          </w:p>
          <w:p>
            <w:pPr>
              <w:numPr>
                <w:ilvl w:val="0"/>
                <w:numId w:val="2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Повече получатели на финансова помощ по подмярката;</w:t>
            </w:r>
          </w:p>
          <w:p>
            <w:pPr>
              <w:numPr>
                <w:ilvl w:val="0"/>
                <w:numId w:val="2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По-голям брой земеделски производители, интегрирани в хранителната верига чрез инвестиции в добавяне на стойност към произвежданата продукция в стопанствата им;</w:t>
            </w:r>
          </w:p>
          <w:p>
            <w:pPr>
              <w:numPr>
                <w:ilvl w:val="0"/>
                <w:numId w:val="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По-добро изпълнение на заложените индикатори по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Очаквани ефекти от предложените промени в подмярка 7.2 от Мярка 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измененията в </w:t>
            </w:r>
            <w:r>
              <w:rPr>
                <w:rStyle w:val="DefaultParagraphFont"/>
                <w:rFonts w:ascii="Times New Roman" w:eastAsia="Times New Roman" w:hAnsi="Times New Roman" w:cs="Times New Roman"/>
                <w:b/>
                <w:bCs/>
                <w:szCs w:val="24"/>
                <w:u w:val="single"/>
              </w:rPr>
              <w:t>подраздел 8.2.5.3.1.2 „Вид подкрепа“</w:t>
            </w:r>
            <w:r>
              <w:rPr>
                <w:rStyle w:val="DefaultParagraphFont"/>
                <w:rFonts w:ascii="Times New Roman" w:eastAsia="Times New Roman" w:hAnsi="Times New Roman" w:cs="Times New Roman"/>
                <w:b/>
                <w:bCs/>
                <w:szCs w:val="24"/>
              </w:rPr>
              <w:t xml:space="preserve"> от подмярка 7.2 „Инвестиции в създаването, подобряването или разширяването на всички видове малка по мащаби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резултат на предложеното допълнение по дейността ще може да се осигури постигането на ключов компонент в общообразователната подготовка в училищата, а именно – подкрепа на устойчиво развитие и на здравословен начин на живот и спорт. Ще се създадат съвременни условия за провеждане на часовете по физическо възпитание и спорт, ще се насърчи практикуването на физически упражнения и спорт в училище. Това, от своя страна, ще намали негативните явления в подрастващите деца и ще се даде възможност за усъвършенстване на ценностната им система.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измененията в</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b/>
                <w:bCs/>
                <w:szCs w:val="24"/>
                <w:u w:val="single"/>
              </w:rPr>
              <w:t>раздел 8.2.5.7 „Друга важна информация, необходима за по-доброто разбиране и прилагане на мярката“</w:t>
            </w:r>
            <w:r>
              <w:rPr>
                <w:rStyle w:val="DefaultParagraphFont"/>
                <w:rFonts w:ascii="Times New Roman" w:eastAsia="Times New Roman" w:hAnsi="Times New Roman" w:cs="Times New Roman"/>
                <w:b/>
                <w:bCs/>
                <w:szCs w:val="24"/>
              </w:rPr>
              <w:t xml:space="preserve"> от мярка 7 „Основни услуги и обновяване на селата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професионалните гимназии ще имат като непосредствен резултат подобряване качеството на образователната среда и съответно повишаване на нейната активност. Обновяването на материалната база ще доведе до цялостното подобряване на учебния процес и ще улесни въвеждането на нови методи на обучение, които да повишат и задържат интереса на младите хора, което ще се отрази благоприятно на мотивацията на учениците за по-добро и по-активно обучение и реализацията им на пазара на труда и възможността да останат да живеят в селските райони. В дългосрочен план ще се стимулира увеличаването на заетостта, намаляване на безработицата и свързаните с нея нива на обща и детска престъпност, равнищата на миграция в селските райони и осигуряване на бизнеса от нужните му качествени кадри в областта на земеделието, животновъдството, горското стопанство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Предложеното допълнение за създаване на междуведомствени работни групи има за цел подобряване ефективността на контрола при предоставянето на финансова помощ със средства от ЕЗФРСР чрез непрекъсната координация относно демаркацията, допълняемостта и проверките за наличие на двойно финансиране с други институции, управляващи средства от ЕСИФ.</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относно измененията може да бъде намерена в раздел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Промяна на показателите не се очаква, поради запазване на разполагаемият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Предложението е в синхрон със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 са следните дейности по предварителната оценка:</w:t>
            </w:r>
          </w:p>
          <w:p>
            <w:pPr>
              <w:numPr>
                <w:ilvl w:val="0"/>
                <w:numId w:val="2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в тематичната работна група (ТРГ) по ПРСР, 10.02.2014 г.</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Style w:val="DefaultParagraphFont"/>
                <w:rFonts w:ascii="Times New Roman" w:eastAsia="Times New Roman" w:hAnsi="Times New Roman" w:cs="Times New Roman"/>
                <w:i/>
                <w:iCs/>
                <w:szCs w:val="24"/>
              </w:rPr>
              <w:t>предварителната</w:t>
            </w:r>
            <w:r>
              <w:rPr>
                <w:rStyle w:val="DefaultParagraphFont"/>
                <w:rFonts w:ascii="Times New Roman" w:eastAsia="Times New Roman" w:hAnsi="Times New Roman" w:cs="Times New Roman"/>
                <w:szCs w:val="24"/>
              </w:rPr>
              <w:t xml:space="preserve"> оценка.</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Официално подаване на завършения Доклад за предварителна оценка, </w:t>
            </w:r>
            <w:r>
              <w:rPr>
                <w:rStyle w:val="DefaultParagraphFont"/>
                <w:rFonts w:ascii="Times New Roman" w:eastAsia="Times New Roman" w:hAnsi="Times New Roman" w:cs="Times New Roman"/>
                <w:szCs w:val="24"/>
              </w:rPr>
              <w:t>23 май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Style w:val="DefaultParagraphFont"/>
                <w:rFonts w:ascii="Times New Roman" w:eastAsia="Times New Roman" w:hAnsi="Times New Roman" w:cs="Times New Roman"/>
                <w:i/>
                <w:iCs/>
                <w:szCs w:val="24"/>
              </w:rPr>
              <w:t>предварителната</w:t>
            </w:r>
            <w:r>
              <w:rPr>
                <w:rStyle w:val="DefaultParagraphFont"/>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Style w:val="DefaultParagraphFont"/>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Style w:val="DefaultParagraphFont"/>
                <w:rFonts w:ascii="Times New Roman" w:eastAsia="Times New Roman" w:hAnsi="Times New Roman" w:cs="Times New Roman"/>
                <w:szCs w:val="24"/>
              </w:rPr>
              <w:t xml:space="preserve">Разработени бяха: </w:t>
            </w:r>
            <w:r>
              <w:rPr>
                <w:rStyle w:val="DefaultParagraphFont"/>
                <w:rFonts w:ascii="Times New Roman" w:eastAsia="Times New Roman" w:hAnsi="Times New Roman" w:cs="Times New Roman"/>
                <w:i/>
                <w:iCs/>
                <w:szCs w:val="24"/>
              </w:rPr>
              <w:t xml:space="preserve">Искане </w:t>
            </w:r>
            <w:r>
              <w:rPr>
                <w:rStyle w:val="DefaultParagraphFont"/>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Style w:val="DefaultParagraphFont"/>
                <w:rFonts w:ascii="Times New Roman" w:eastAsia="Times New Roman" w:hAnsi="Times New Roman" w:cs="Times New Roman"/>
                <w:i/>
                <w:iCs/>
                <w:szCs w:val="24"/>
              </w:rPr>
              <w:t>Задание</w:t>
            </w:r>
            <w:r>
              <w:rPr>
                <w:rStyle w:val="DefaultParagraphFont"/>
                <w:rFonts w:ascii="Times New Roman" w:eastAsia="Times New Roman" w:hAnsi="Times New Roman" w:cs="Times New Roman"/>
                <w:szCs w:val="24"/>
              </w:rPr>
              <w:t xml:space="preserve"> за обхват и съдържание на СЕО на ПРСР (2014-2020) и </w:t>
            </w:r>
            <w:r>
              <w:rPr>
                <w:rStyle w:val="DefaultParagraphFont"/>
                <w:rFonts w:ascii="Times New Roman" w:eastAsia="Times New Roman" w:hAnsi="Times New Roman" w:cs="Times New Roman"/>
                <w:i/>
                <w:iCs/>
                <w:szCs w:val="24"/>
              </w:rPr>
              <w:t>Схема</w:t>
            </w:r>
            <w:r>
              <w:rPr>
                <w:rStyle w:val="DefaultParagraphFont"/>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се приема частично.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не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Препоръката е приета.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Селските територии имат голям потенциал за развитие на </w:t>
            </w:r>
            <w:r>
              <w:rPr>
                <w:rStyle w:val="DefaultParagraphFont"/>
                <w:rFonts w:ascii="Times New Roman" w:eastAsia="Times New Roman" w:hAnsi="Times New Roman" w:cs="Times New Roman"/>
                <w:i/>
                <w:iCs/>
                <w:szCs w:val="24"/>
              </w:rPr>
              <w:t>устойчив туризъм</w:t>
            </w:r>
            <w:r>
              <w:rPr>
                <w:rStyle w:val="DefaultParagraphFont"/>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БДС, създадена в </w:t>
            </w:r>
            <w:r>
              <w:rPr>
                <w:rStyle w:val="DefaultParagraphFont"/>
                <w:rFonts w:ascii="Times New Roman" w:eastAsia="Times New Roman" w:hAnsi="Times New Roman" w:cs="Times New Roman"/>
                <w:i/>
                <w:iCs/>
                <w:szCs w:val="24"/>
              </w:rPr>
              <w:t>селското стопанство</w:t>
            </w:r>
            <w:r>
              <w:rPr>
                <w:rStyle w:val="DefaultParagraphFont"/>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използваната земеделска площ</w:t>
            </w:r>
            <w:r>
              <w:rPr>
                <w:rStyle w:val="DefaultParagraphFont"/>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данни от преброяването през 2010 г., </w:t>
            </w:r>
            <w:r>
              <w:rPr>
                <w:rStyle w:val="DefaultParagraphFont"/>
                <w:rFonts w:ascii="Times New Roman" w:eastAsia="Times New Roman" w:hAnsi="Times New Roman" w:cs="Times New Roman"/>
                <w:i/>
                <w:iCs/>
                <w:szCs w:val="24"/>
              </w:rPr>
              <w:t>броят на земеделските стопанства</w:t>
            </w:r>
            <w:r>
              <w:rPr>
                <w:rStyle w:val="DefaultParagraphFont"/>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2010 г. постоянната </w:t>
            </w:r>
            <w:r>
              <w:rPr>
                <w:rStyle w:val="DefaultParagraphFont"/>
                <w:rFonts w:ascii="Times New Roman" w:eastAsia="Times New Roman" w:hAnsi="Times New Roman" w:cs="Times New Roman"/>
                <w:i/>
                <w:iCs/>
                <w:szCs w:val="24"/>
              </w:rPr>
              <w:t>работна сила в земеделието</w:t>
            </w:r>
            <w:r>
              <w:rPr>
                <w:rStyle w:val="DefaultParagraphFont"/>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се наблюдават значителни промени в </w:t>
            </w:r>
            <w:r>
              <w:rPr>
                <w:rStyle w:val="DefaultParagraphFont"/>
                <w:rFonts w:ascii="Times New Roman" w:eastAsia="Times New Roman" w:hAnsi="Times New Roman" w:cs="Times New Roman"/>
                <w:i/>
                <w:iCs/>
                <w:szCs w:val="24"/>
              </w:rPr>
              <w:t>отрасловата структура на земеделието</w:t>
            </w:r>
            <w:r>
              <w:rPr>
                <w:rStyle w:val="DefaultParagraphFont"/>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 xml:space="preserve">бруто образуването на основен капитал </w:t>
            </w:r>
            <w:r>
              <w:rPr>
                <w:rStyle w:val="DefaultParagraphFont"/>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Проучванията показват, че </w:t>
            </w:r>
            <w:r>
              <w:rPr>
                <w:rStyle w:val="DefaultParagraphFont"/>
                <w:rFonts w:ascii="Times New Roman" w:eastAsia="Times New Roman" w:hAnsi="Times New Roman" w:cs="Times New Roman"/>
                <w:i/>
                <w:iCs/>
                <w:szCs w:val="24"/>
              </w:rPr>
              <w:t>инвестициите в нови продукти и технологии</w:t>
            </w:r>
            <w:r>
              <w:rPr>
                <w:rStyle w:val="DefaultParagraphFont"/>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България има слаби хоризонтални и вертикални връзки в </w:t>
            </w:r>
            <w:r>
              <w:rPr>
                <w:rStyle w:val="DefaultParagraphFont"/>
                <w:rFonts w:ascii="Times New Roman" w:eastAsia="Times New Roman" w:hAnsi="Times New Roman" w:cs="Times New Roman"/>
                <w:i/>
                <w:iCs/>
                <w:szCs w:val="24"/>
              </w:rPr>
              <w:t>хранителната верига</w:t>
            </w:r>
            <w:r>
              <w:rPr>
                <w:rStyle w:val="DefaultParagraphFont"/>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w:t>
            </w:r>
            <w:r>
              <w:rPr>
                <w:rStyle w:val="DefaultParagraphFont"/>
                <w:rFonts w:ascii="Times New Roman" w:eastAsia="Times New Roman" w:hAnsi="Times New Roman" w:cs="Times New Roman"/>
                <w:i/>
                <w:iCs/>
                <w:szCs w:val="24"/>
              </w:rPr>
              <w:t xml:space="preserve">. </w:t>
            </w:r>
            <w:r>
              <w:rPr>
                <w:rStyle w:val="DefaultParagraphFont"/>
                <w:rFonts w:ascii="Times New Roman" w:eastAsia="Times New Roman" w:hAnsi="Times New Roman" w:cs="Times New Roman"/>
                <w:szCs w:val="24"/>
              </w:rPr>
              <w:t>БДС на</w:t>
            </w:r>
            <w:r>
              <w:rPr>
                <w:rStyle w:val="DefaultParagraphFont"/>
                <w:rFonts w:ascii="Times New Roman" w:eastAsia="Times New Roman" w:hAnsi="Times New Roman" w:cs="Times New Roman"/>
                <w:i/>
                <w:iCs/>
                <w:szCs w:val="24"/>
              </w:rPr>
              <w:t xml:space="preserve"> хранително-вкусовата промишленост</w:t>
            </w:r>
            <w:r>
              <w:rPr>
                <w:rStyle w:val="DefaultParagraphFont"/>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w:t>
            </w:r>
            <w:r>
              <w:rPr>
                <w:rStyle w:val="DefaultParagraphFont"/>
                <w:rFonts w:ascii="Times New Roman" w:eastAsia="Times New Roman" w:hAnsi="Times New Roman" w:cs="Times New Roman"/>
                <w:i/>
                <w:iCs/>
                <w:szCs w:val="24"/>
              </w:rPr>
              <w:t>външнотърговския оборот</w:t>
            </w:r>
            <w:r>
              <w:rPr>
                <w:rStyle w:val="DefaultParagraphFont"/>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разполага със значителен потенциал за осъществяване на </w:t>
            </w:r>
            <w:r>
              <w:rPr>
                <w:rStyle w:val="DefaultParagraphFont"/>
                <w:rFonts w:ascii="Times New Roman" w:eastAsia="Times New Roman" w:hAnsi="Times New Roman" w:cs="Times New Roman"/>
                <w:i/>
                <w:iCs/>
                <w:szCs w:val="24"/>
              </w:rPr>
              <w:t>научно-изследователска и развойна дейност</w:t>
            </w:r>
            <w:r>
              <w:rPr>
                <w:rStyle w:val="DefaultParagraphFont"/>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Горските територии</w:t>
            </w:r>
            <w:r>
              <w:rPr>
                <w:rStyle w:val="DefaultParagraphFont"/>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БДС в </w:t>
            </w:r>
            <w:r>
              <w:rPr>
                <w:rStyle w:val="DefaultParagraphFont"/>
                <w:rFonts w:ascii="Times New Roman" w:eastAsia="Times New Roman" w:hAnsi="Times New Roman" w:cs="Times New Roman"/>
                <w:i/>
                <w:iCs/>
                <w:szCs w:val="24"/>
              </w:rPr>
              <w:t>горското стопанство и дърводобива</w:t>
            </w:r>
            <w:r>
              <w:rPr>
                <w:rStyle w:val="DefaultParagraphFont"/>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Общият брой на промишлените предприятията за </w:t>
            </w:r>
            <w:r>
              <w:rPr>
                <w:rStyle w:val="DefaultParagraphFont"/>
                <w:rFonts w:ascii="Times New Roman" w:eastAsia="Times New Roman" w:hAnsi="Times New Roman" w:cs="Times New Roman"/>
                <w:i/>
                <w:iCs/>
                <w:szCs w:val="24"/>
              </w:rPr>
              <w:t>производство на дървен материал и изделия от него</w:t>
            </w:r>
            <w:r>
              <w:rPr>
                <w:rStyle w:val="DefaultParagraphFont"/>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Околна среда/климат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Style w:val="DefaultParagraphFont"/>
                <w:rFonts w:ascii="Times New Roman" w:eastAsia="Times New Roman" w:hAnsi="Times New Roman" w:cs="Times New Roman"/>
                <w:i/>
                <w:iCs/>
                <w:szCs w:val="24"/>
              </w:rPr>
              <w:t>биоразнообразие</w:t>
            </w:r>
            <w:r>
              <w:rPr>
                <w:rStyle w:val="DefaultParagraphFont"/>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Общата площ на физическите блокове обработваемите земи с потенциално </w:t>
            </w:r>
            <w:r>
              <w:rPr>
                <w:rStyle w:val="DefaultParagraphFont"/>
                <w:rFonts w:ascii="Times New Roman" w:eastAsia="Times New Roman" w:hAnsi="Times New Roman" w:cs="Times New Roman"/>
                <w:i/>
                <w:iCs/>
                <w:szCs w:val="24"/>
              </w:rPr>
              <w:t xml:space="preserve">ВПС </w:t>
            </w:r>
            <w:r>
              <w:rPr>
                <w:rStyle w:val="DefaultParagraphFont"/>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България се отличава с относително значими пресни </w:t>
            </w:r>
            <w:r>
              <w:rPr>
                <w:rStyle w:val="DefaultParagraphFont"/>
                <w:rFonts w:ascii="Times New Roman" w:eastAsia="Times New Roman" w:hAnsi="Times New Roman" w:cs="Times New Roman"/>
                <w:i/>
                <w:iCs/>
                <w:szCs w:val="24"/>
              </w:rPr>
              <w:t>водни ресурси</w:t>
            </w:r>
            <w:r>
              <w:rPr>
                <w:rStyle w:val="DefaultParagraphFont"/>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Общата площ на </w:t>
            </w:r>
            <w:r>
              <w:rPr>
                <w:rStyle w:val="DefaultParagraphFont"/>
                <w:rFonts w:ascii="Times New Roman" w:eastAsia="Times New Roman" w:hAnsi="Times New Roman" w:cs="Times New Roman"/>
                <w:i/>
                <w:iCs/>
                <w:szCs w:val="24"/>
              </w:rPr>
              <w:t>нитратно уязвимите зони</w:t>
            </w:r>
            <w:r>
              <w:rPr>
                <w:rStyle w:val="DefaultParagraphFont"/>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Значителна част от </w:t>
            </w:r>
            <w:r>
              <w:rPr>
                <w:rStyle w:val="DefaultParagraphFont"/>
                <w:rFonts w:ascii="Times New Roman" w:eastAsia="Times New Roman" w:hAnsi="Times New Roman" w:cs="Times New Roman"/>
                <w:i/>
                <w:iCs/>
                <w:szCs w:val="24"/>
              </w:rPr>
              <w:t>почвите</w:t>
            </w:r>
            <w:r>
              <w:rPr>
                <w:rStyle w:val="DefaultParagraphFont"/>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2012 г. </w:t>
            </w:r>
            <w:r>
              <w:rPr>
                <w:rStyle w:val="DefaultParagraphFont"/>
                <w:rFonts w:ascii="Times New Roman" w:eastAsia="Times New Roman" w:hAnsi="Times New Roman" w:cs="Times New Roman"/>
                <w:i/>
                <w:iCs/>
                <w:szCs w:val="24"/>
              </w:rPr>
              <w:t>емисиите парникови газове</w:t>
            </w:r>
            <w:r>
              <w:rPr>
                <w:rStyle w:val="DefaultParagraphFont"/>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Поглъщането на парникови газове</w:t>
            </w:r>
            <w:r>
              <w:rPr>
                <w:rStyle w:val="DefaultParagraphFont"/>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Необлагодетелстваните райони</w:t>
            </w:r>
            <w:r>
              <w:rPr>
                <w:rStyle w:val="DefaultParagraphFont"/>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края на 2011 г. делът на произведената </w:t>
            </w:r>
            <w:r>
              <w:rPr>
                <w:rStyle w:val="DefaultParagraphFont"/>
                <w:rFonts w:ascii="Times New Roman" w:eastAsia="Times New Roman" w:hAnsi="Times New Roman" w:cs="Times New Roman"/>
                <w:i/>
                <w:iCs/>
                <w:szCs w:val="24"/>
              </w:rPr>
              <w:t>енергия от възобновяеми източници</w:t>
            </w:r>
            <w:r>
              <w:rPr>
                <w:rStyle w:val="DefaultParagraphFont"/>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Горите със защитни и специални функции</w:t>
            </w:r>
            <w:r>
              <w:rPr>
                <w:rStyle w:val="DefaultParagraphFont"/>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Околна среда/климат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Инвентаризирани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Поляризирана структура на стопанствата;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Неразвити механизми за управление на риска;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Околна среда/климат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Монокултурни производствени модели;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екосистемните услуги;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27"/>
              </w:numPr>
              <w:spacing w:before="0" w:after="240"/>
              <w:ind w:left="1440" w:hanging="93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717"/>
        <w:gridCol w:w="3430"/>
        <w:gridCol w:w="905"/>
        <w:gridCol w:w="752"/>
        <w:gridCol w:w="798"/>
        <w:gridCol w:w="79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specific rural definition used for targets T21; T22 and T24 (if relevant)</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5014"/>
        <w:gridCol w:w="2133"/>
        <w:gridCol w:w="905"/>
        <w:gridCol w:w="752"/>
        <w:gridCol w:w="798"/>
        <w:gridCol w:w="79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775"/>
        <w:gridCol w:w="3295"/>
        <w:gridCol w:w="905"/>
        <w:gridCol w:w="830"/>
        <w:gridCol w:w="798"/>
        <w:gridCol w:w="798"/>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value</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Updated year</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8"/>
              </w:numPr>
              <w:rPr>
                <w:b w:val="0"/>
              </w:rPr>
            </w:pPr>
            <w:r>
              <w:rPr>
                <w:b w:val="0"/>
              </w:rPr>
              <w:t>1А) Стимулиране на иновациите, сътрудничеството и развитието на базата от знания в селските райони</w:t>
            </w:r>
          </w:p>
          <w:p>
            <w:pPr>
              <w:numPr>
                <w:numId w:val="28"/>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8"/>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8"/>
              </w:numPr>
              <w:rPr>
                <w:b w:val="0"/>
              </w:rPr>
            </w:pPr>
            <w:r>
              <w:rPr>
                <w:b w:val="0"/>
              </w:rPr>
              <w:t>4В) Предотвратяване на ерозията на почвите и подобряване на управлението им</w:t>
            </w:r>
          </w:p>
          <w:p>
            <w:pPr>
              <w:numPr>
                <w:numId w:val="28"/>
              </w:numPr>
              <w:rPr>
                <w:b w:val="0"/>
              </w:rPr>
            </w:pPr>
            <w:r>
              <w:rPr>
                <w:b w:val="0"/>
              </w:rPr>
              <w:t xml:space="preserve">5А) Повишаване на ефективността при потреблението на вода в селското стопанство </w:t>
            </w:r>
          </w:p>
          <w:p>
            <w:pPr>
              <w:numPr>
                <w:numId w:val="2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8"/>
              </w:numPr>
              <w:rPr>
                <w:b w:val="0"/>
              </w:rPr>
            </w:pPr>
            <w:r>
              <w:rPr>
                <w:b w:val="0"/>
              </w:rPr>
              <w:t>5Г) Намаляване на емисиите на парникови газове и амоняк от селското стопанство</w:t>
            </w:r>
          </w:p>
          <w:p>
            <w:pPr>
              <w:numPr>
                <w:numId w:val="28"/>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9"/>
              </w:numPr>
              <w:rPr>
                <w:b w:val="0"/>
              </w:rPr>
            </w:pPr>
            <w:r>
              <w:rPr>
                <w:b w:val="0"/>
              </w:rPr>
              <w:t>Околна среда</w:t>
            </w:r>
          </w:p>
          <w:p>
            <w:pPr>
              <w:numPr>
                <w:numId w:val="2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0"/>
              </w:numPr>
              <w:rPr>
                <w:b w:val="0"/>
              </w:rPr>
            </w:pPr>
            <w:r>
              <w:rPr>
                <w:b w:val="0"/>
              </w:rPr>
              <w:t>1А) Стимулиране на иновациите, сътрудничеството и развитието на базата от знания в селските райони</w:t>
            </w:r>
          </w:p>
          <w:p>
            <w:pPr>
              <w:numPr>
                <w:numId w:val="3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0"/>
              </w:numPr>
              <w:rPr>
                <w:b w:val="0"/>
              </w:rPr>
            </w:pPr>
            <w:r>
              <w:rPr>
                <w:b w:val="0"/>
              </w:rPr>
              <w:t xml:space="preserve">4Б) Подобряване управлението на водите, включително управлението на торовете и пестицидите </w:t>
            </w:r>
          </w:p>
          <w:p>
            <w:pPr>
              <w:numPr>
                <w:numId w:val="30"/>
              </w:numPr>
              <w:rPr>
                <w:b w:val="0"/>
              </w:rPr>
            </w:pPr>
            <w:r>
              <w:rPr>
                <w:b w:val="0"/>
              </w:rPr>
              <w:t>4В) Предотвратяване на ерозията на почвите и подобряване на управлението им</w:t>
            </w:r>
          </w:p>
          <w:p>
            <w:pPr>
              <w:numPr>
                <w:numId w:val="30"/>
              </w:numPr>
              <w:rPr>
                <w:b w:val="0"/>
              </w:rPr>
            </w:pPr>
            <w:r>
              <w:rPr>
                <w:b w:val="0"/>
              </w:rPr>
              <w:t xml:space="preserve">5А) Повишаване на ефективността при потреблението на вода в селското стопанство </w:t>
            </w:r>
          </w:p>
          <w:p>
            <w:pPr>
              <w:numPr>
                <w:numId w:val="3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0"/>
              </w:numPr>
              <w:rPr>
                <w:b w:val="0"/>
              </w:rPr>
            </w:pPr>
            <w:r>
              <w:rPr>
                <w:b w:val="0"/>
              </w:rPr>
              <w:t>5Г) Намаляване на емисиите на парникови газове и амоняк от селското стопанство</w:t>
            </w:r>
          </w:p>
          <w:p>
            <w:pPr>
              <w:numPr>
                <w:numId w:val="30"/>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1"/>
              </w:numPr>
              <w:rPr>
                <w:b w:val="0"/>
              </w:rPr>
            </w:pPr>
            <w:r>
              <w:rPr>
                <w:b w:val="0"/>
              </w:rPr>
              <w:t>Околна среда</w:t>
            </w:r>
          </w:p>
          <w:p>
            <w:pPr>
              <w:numPr>
                <w:numId w:val="3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2"/>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2"/>
              </w:numPr>
              <w:rPr>
                <w:b w:val="0"/>
              </w:rPr>
            </w:pPr>
            <w:r>
              <w:rPr>
                <w:b w:val="0"/>
              </w:rPr>
              <w:t xml:space="preserve">4Б) Подобряване управлението на водите, включително управлението на торовете и пестицидите </w:t>
            </w:r>
          </w:p>
          <w:p>
            <w:pPr>
              <w:numPr>
                <w:numId w:val="32"/>
              </w:numPr>
              <w:rPr>
                <w:b w:val="0"/>
              </w:rPr>
            </w:pPr>
            <w:r>
              <w:rPr>
                <w:b w:val="0"/>
              </w:rPr>
              <w:t>4В) Предотвратяване на ерозията на почвите и подобряване на управлението им</w:t>
            </w:r>
          </w:p>
          <w:p>
            <w:pPr>
              <w:numPr>
                <w:numId w:val="32"/>
              </w:numPr>
              <w:rPr>
                <w:b w:val="0"/>
              </w:rPr>
            </w:pPr>
            <w:r>
              <w:rPr>
                <w:b w:val="0"/>
              </w:rPr>
              <w:t xml:space="preserve">5А) Повишаване на ефективността при потреблението на вода в селското стопанство </w:t>
            </w:r>
          </w:p>
          <w:p>
            <w:pPr>
              <w:numPr>
                <w:numId w:val="3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2"/>
              </w:numPr>
              <w:rPr>
                <w:b w:val="0"/>
              </w:rPr>
            </w:pPr>
            <w:r>
              <w:rPr>
                <w:b w:val="0"/>
              </w:rPr>
              <w:t>5Г) Намаляване на емисиите на парникови газове и амоняк от селското стопанство</w:t>
            </w:r>
          </w:p>
          <w:p>
            <w:pPr>
              <w:numPr>
                <w:numId w:val="32"/>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Околна среда</w:t>
            </w:r>
          </w:p>
          <w:p>
            <w:pPr>
              <w:numPr>
                <w:numId w:val="3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5"/>
              </w:numPr>
              <w:rPr>
                <w:b w:val="0"/>
              </w:rPr>
            </w:pPr>
            <w:r>
              <w:rPr>
                <w:b w:val="0"/>
              </w:rPr>
              <w:t xml:space="preserve">4Б) Подобряване управлението на водите, включително управлението на торовете и пестицидите </w:t>
            </w:r>
          </w:p>
          <w:p>
            <w:pPr>
              <w:numPr>
                <w:numId w:val="35"/>
              </w:numPr>
              <w:rPr>
                <w:b w:val="0"/>
              </w:rPr>
            </w:pPr>
            <w:r>
              <w:rPr>
                <w:b w:val="0"/>
              </w:rPr>
              <w:t>4В) Предотвратяване на ерозията на почвите и подобряване на управлението им</w:t>
            </w:r>
          </w:p>
          <w:p>
            <w:pPr>
              <w:numPr>
                <w:numId w:val="35"/>
              </w:numPr>
              <w:rPr>
                <w:b w:val="0"/>
              </w:rPr>
            </w:pPr>
            <w:r>
              <w:rPr>
                <w:b w:val="0"/>
              </w:rPr>
              <w:t xml:space="preserve">5А) Повишаване на ефективността при потреблението на вода в селското стопанство </w:t>
            </w:r>
          </w:p>
          <w:p>
            <w:pPr>
              <w:numPr>
                <w:numId w:val="3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5"/>
              </w:numPr>
              <w:rPr>
                <w:b w:val="0"/>
              </w:rPr>
            </w:pPr>
            <w:r>
              <w:rPr>
                <w:b w:val="0"/>
              </w:rPr>
              <w:t>5Г) Намаляване на емисиите на парникови газове и амоняк от селското стопанство</w:t>
            </w:r>
          </w:p>
          <w:p>
            <w:pPr>
              <w:numPr>
                <w:numId w:val="3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Околна среда</w:t>
            </w:r>
          </w:p>
          <w:p>
            <w:pPr>
              <w:numPr>
                <w:numId w:val="36"/>
              </w:numPr>
              <w:rPr>
                <w:b w:val="0"/>
              </w:rPr>
            </w:pPr>
            <w:r>
              <w:rPr>
                <w:b w:val="0"/>
              </w:rPr>
              <w:t>Смекчаване на последиците от изменението на климата и приспособяване към тях</w:t>
            </w:r>
          </w:p>
          <w:p>
            <w:pPr>
              <w:numPr>
                <w:numId w:val="3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Околна среда</w:t>
            </w:r>
          </w:p>
          <w:p>
            <w:pPr>
              <w:numPr>
                <w:numId w:val="38"/>
              </w:numPr>
              <w:rPr>
                <w:b w:val="0"/>
              </w:rPr>
            </w:pPr>
            <w:r>
              <w:rPr>
                <w:b w:val="0"/>
              </w:rPr>
              <w:t>Смекчаване на последиците от изменението на климата и приспособяване към тях</w:t>
            </w:r>
          </w:p>
          <w:p>
            <w:pPr>
              <w:numPr>
                <w:numId w:val="3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1"/>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Съществуващата </w:t>
            </w:r>
            <w:r>
              <w:rPr>
                <w:rStyle w:val="DefaultParagraphFont"/>
                <w:rFonts w:ascii="Times New Roman" w:eastAsia="Times New Roman" w:hAnsi="Times New Roman" w:cs="Times New Roman"/>
                <w:i/>
                <w:iCs/>
                <w:szCs w:val="24"/>
              </w:rPr>
              <w:t>значителна разпокъсаност на поземлената собственост</w:t>
            </w:r>
            <w:r>
              <w:rPr>
                <w:rStyle w:val="DefaultParagraphFont"/>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5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чрез национални средства и политики.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Околна среда</w:t>
            </w:r>
          </w:p>
          <w:p>
            <w:pPr>
              <w:numPr>
                <w:numId w:val="6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5"/>
              </w:numPr>
              <w:rPr>
                <w:b w:val="0"/>
              </w:rPr>
            </w:pPr>
            <w:r>
              <w:rPr>
                <w:b w:val="0"/>
              </w:rPr>
              <w:t xml:space="preserve">4Б) Подобряване управлението на водите, включително управлението на торовете и пестицидите </w:t>
            </w:r>
          </w:p>
          <w:p>
            <w:pPr>
              <w:numPr>
                <w:numId w:val="65"/>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7"/>
              </w:numPr>
              <w:rPr>
                <w:b w:val="0"/>
              </w:rPr>
            </w:pPr>
            <w:r>
              <w:rPr>
                <w:b w:val="0"/>
              </w:rPr>
              <w:t xml:space="preserve">4Б) Подобряване управлението на водите, включително управлението на торовете и пестицидите </w:t>
            </w:r>
          </w:p>
          <w:p>
            <w:pPr>
              <w:numPr>
                <w:numId w:val="67"/>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Околна среда</w:t>
            </w:r>
          </w:p>
          <w:p>
            <w:pPr>
              <w:numPr>
                <w:numId w:val="6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Околна среда. Адаптация към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9"/>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Околна среда</w:t>
            </w:r>
          </w:p>
          <w:p>
            <w:pPr>
              <w:numPr>
                <w:numId w:val="7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4В) Предотвратяване на ерозията на почвите и подобряване на управлението им</w:t>
            </w:r>
          </w:p>
          <w:p>
            <w:pPr>
              <w:numPr>
                <w:numId w:val="76"/>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Околна среда</w:t>
            </w:r>
          </w:p>
          <w:p>
            <w:pPr>
              <w:numPr>
                <w:numId w:val="79"/>
              </w:numPr>
              <w:rPr>
                <w:b w:val="0"/>
              </w:rPr>
            </w:pPr>
            <w:r>
              <w:rPr>
                <w:b w:val="0"/>
              </w:rPr>
              <w:t>Смекчаване на последиците от изменението на климата и приспособяване към тях</w:t>
            </w:r>
          </w:p>
          <w:p>
            <w:pPr>
              <w:numPr>
                <w:numId w:val="7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 xml:space="preserve">5А) Повишаване на ефективността при потреблението на вода в селското стопанство </w:t>
            </w:r>
          </w:p>
          <w:p>
            <w:pPr>
              <w:numPr>
                <w:numId w:val="8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3"/>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rPr>
                <w:b w:val="0"/>
              </w:rPr>
            </w:pPr>
            <w:r>
              <w:rPr>
                <w:b w:val="0"/>
              </w:rPr>
              <w:t>1А) Стимулиране на иновациите, сътрудничеството и развитието на базата от знания в селските райони</w:t>
            </w:r>
          </w:p>
          <w:p>
            <w:pPr>
              <w:numPr>
                <w:numId w:val="8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rPr>
                <w:b w:val="0"/>
              </w:rPr>
            </w:pPr>
            <w:r>
              <w:rPr>
                <w:b w:val="0"/>
              </w:rPr>
              <w:t>Околна среда</w:t>
            </w:r>
          </w:p>
          <w:p>
            <w:pPr>
              <w:numPr>
                <w:numId w:val="8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6"/>
              </w:numPr>
              <w:rPr>
                <w:b w:val="0"/>
              </w:rPr>
            </w:pPr>
            <w:r>
              <w:rPr>
                <w:b w:val="0"/>
              </w:rPr>
              <w:t xml:space="preserve">6Б) Стимулиране на местното развитие в селските райони </w:t>
            </w:r>
          </w:p>
          <w:p>
            <w:pPr>
              <w:numPr>
                <w:numId w:val="86"/>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Style w:val="DefaultParagraphFont"/>
                <w:rFonts w:ascii="Times New Roman" w:eastAsia="Times New Roman" w:hAnsi="Times New Roman" w:cs="Times New Roman"/>
                <w:b/>
                <w:b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Style w:val="DefaultParagraphFont"/>
                <w:rFonts w:ascii="Times New Roman" w:eastAsia="Times New Roman" w:hAnsi="Times New Roman" w:cs="Times New Roman"/>
                <w:i/>
                <w:iCs/>
                <w:szCs w:val="24"/>
              </w:rPr>
              <w:t xml:space="preserve">(Тази потребност се адресира от ОПРЧР и </w:t>
            </w:r>
            <w:r>
              <w:rPr>
                <w:rStyle w:val="DefaultParagraphFont"/>
                <w:rFonts w:ascii="Times New Roman" w:eastAsia="Times New Roman" w:hAnsi="Times New Roman" w:cs="Times New Roman"/>
                <w:szCs w:val="24"/>
              </w:rPr>
              <w:t>ОПДУ</w:t>
            </w:r>
            <w:r>
              <w:rPr>
                <w:rStyle w:val="DefaultParagraphFont"/>
                <w:rFonts w:ascii="Times New Roman" w:eastAsia="Times New Roman" w:hAnsi="Times New Roman" w:cs="Times New Roman"/>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планираните интервенции по първата цел са отделени 22% от публичните разходи на Програмата, по втората – 48%, а по третата – 28%.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Първата цел </w:t>
            </w:r>
            <w:r>
              <w:rPr>
                <w:rStyle w:val="DefaultParagraphFont"/>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Интервенциите по Приоритет 2 целят </w:t>
            </w:r>
            <w:r>
              <w:rPr>
                <w:rStyle w:val="DefaultParagraphFont"/>
                <w:rFonts w:ascii="Times New Roman" w:eastAsia="Times New Roman" w:hAnsi="Times New Roman" w:cs="Times New Roman"/>
                <w:i/>
                <w:iCs/>
                <w:szCs w:val="24"/>
              </w:rPr>
              <w:t xml:space="preserve">повишаване на жизнеспособността и конкурентоспособността </w:t>
            </w:r>
            <w:r>
              <w:rPr>
                <w:rStyle w:val="DefaultParagraphFont"/>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Style w:val="DefaultParagraphFont"/>
                <w:rFonts w:ascii="Times New Roman" w:eastAsia="Times New Roman" w:hAnsi="Times New Roman" w:cs="Times New Roman"/>
                <w:b/>
                <w:bCs/>
                <w:szCs w:val="24"/>
              </w:rPr>
              <w:t xml:space="preserve"> 3500 земеделски стопанства и навлизането в земеделието на 3060 млади стопани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 интервенциите за </w:t>
            </w:r>
            <w:r>
              <w:rPr>
                <w:rStyle w:val="DefaultParagraphFont"/>
                <w:rFonts w:ascii="Times New Roman" w:eastAsia="Times New Roman" w:hAnsi="Times New Roman" w:cs="Times New Roman"/>
                <w:i/>
                <w:iCs/>
                <w:szCs w:val="24"/>
              </w:rPr>
              <w:t>насърчаване на организацията на хранителната верига</w:t>
            </w:r>
            <w:r>
              <w:rPr>
                <w:rStyle w:val="DefaultParagraphFont"/>
                <w:rFonts w:ascii="Times New Roman" w:eastAsia="Times New Roman" w:hAnsi="Times New Roman" w:cs="Times New Roman"/>
                <w:szCs w:val="24"/>
              </w:rPr>
              <w:t xml:space="preserve"> и </w:t>
            </w:r>
            <w:r>
              <w:rPr>
                <w:rStyle w:val="DefaultParagraphFont"/>
                <w:rFonts w:ascii="Times New Roman" w:eastAsia="Times New Roman" w:hAnsi="Times New Roman" w:cs="Times New Roman"/>
                <w:i/>
                <w:iCs/>
                <w:szCs w:val="24"/>
              </w:rPr>
              <w:t xml:space="preserve">управлението на риска </w:t>
            </w:r>
            <w:r>
              <w:rPr>
                <w:rStyle w:val="DefaultParagraphFont"/>
                <w:rFonts w:ascii="Times New Roman" w:eastAsia="Times New Roman" w:hAnsi="Times New Roman" w:cs="Times New Roman"/>
                <w:szCs w:val="24"/>
              </w:rPr>
              <w:t xml:space="preserve">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Style w:val="DefaultParagraphFont"/>
                <w:rFonts w:ascii="Times New Roman" w:eastAsia="Times New Roman" w:hAnsi="Times New Roman" w:cs="Times New Roman"/>
                <w:b/>
                <w:bCs/>
                <w:szCs w:val="24"/>
              </w:rPr>
              <w:t>620 стопанства</w:t>
            </w:r>
            <w:r>
              <w:rPr>
                <w:rStyle w:val="DefaultParagraphFont"/>
                <w:rFonts w:ascii="Times New Roman" w:eastAsia="Times New Roman" w:hAnsi="Times New Roman" w:cs="Times New Roman"/>
                <w:szCs w:val="24"/>
              </w:rPr>
              <w:t xml:space="preserve">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3Б ще програмата цели подобряване на управлението на риска в земеделието чрез подпомагане на създаването на взаимоспомагателен фонд за неблагоприятни климатични явления, болести по животните и растенията, нашествия на вредители и екологични инциденти, който е програмиран да започне да функционира през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Втората цел </w:t>
            </w:r>
            <w:r>
              <w:rPr>
                <w:rStyle w:val="DefaultParagraphFont"/>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Style w:val="DefaultParagraphFont"/>
                <w:rFonts w:ascii="Times New Roman" w:eastAsia="Times New Roman" w:hAnsi="Times New Roman" w:cs="Times New Roman"/>
                <w:b/>
                <w:bCs/>
                <w:szCs w:val="24"/>
              </w:rPr>
              <w:t>537 хил. ха</w:t>
            </w:r>
            <w:r>
              <w:rPr>
                <w:rStyle w:val="DefaultParagraphFont"/>
                <w:rFonts w:ascii="Times New Roman" w:eastAsia="Times New Roman" w:hAnsi="Times New Roman" w:cs="Times New Roman"/>
                <w:szCs w:val="24"/>
              </w:rPr>
              <w:t xml:space="preserve"> земеделска земя и </w:t>
            </w:r>
            <w:r>
              <w:rPr>
                <w:rStyle w:val="DefaultParagraphFont"/>
                <w:rFonts w:ascii="Times New Roman" w:eastAsia="Times New Roman" w:hAnsi="Times New Roman" w:cs="Times New Roman"/>
                <w:b/>
                <w:bCs/>
                <w:szCs w:val="24"/>
              </w:rPr>
              <w:t>101 хил. ха</w:t>
            </w:r>
            <w:r>
              <w:rPr>
                <w:rStyle w:val="DefaultParagraphFont"/>
                <w:rFonts w:ascii="Times New Roman" w:eastAsia="Times New Roman" w:hAnsi="Times New Roman" w:cs="Times New Roman"/>
                <w:szCs w:val="24"/>
              </w:rPr>
              <w:t xml:space="preserve"> горски територии, а също опазване на почвеното плодородие и предотвратяване на ерозията на </w:t>
            </w:r>
            <w:r>
              <w:rPr>
                <w:rStyle w:val="DefaultParagraphFont"/>
                <w:rFonts w:ascii="Times New Roman" w:eastAsia="Times New Roman" w:hAnsi="Times New Roman" w:cs="Times New Roman"/>
                <w:b/>
                <w:bCs/>
                <w:szCs w:val="24"/>
              </w:rPr>
              <w:t>53 хил. ха</w:t>
            </w:r>
            <w:r>
              <w:rPr>
                <w:rStyle w:val="DefaultParagraphFont"/>
                <w:rFonts w:ascii="Times New Roman" w:eastAsia="Times New Roman" w:hAnsi="Times New Roman" w:cs="Times New Roman"/>
                <w:szCs w:val="24"/>
              </w:rPr>
              <w:t xml:space="preserve">, и подобряване на управлението на водите на </w:t>
            </w:r>
            <w:r>
              <w:rPr>
                <w:rStyle w:val="DefaultParagraphFont"/>
                <w:rFonts w:ascii="Times New Roman" w:eastAsia="Times New Roman" w:hAnsi="Times New Roman" w:cs="Times New Roman"/>
                <w:b/>
                <w:bCs/>
                <w:szCs w:val="24"/>
              </w:rPr>
              <w:t>113 хил. ха</w:t>
            </w:r>
            <w:r>
              <w:rPr>
                <w:rStyle w:val="DefaultParagraphFont"/>
                <w:rFonts w:ascii="Times New Roman" w:eastAsia="Times New Roman" w:hAnsi="Times New Roman" w:cs="Times New Roman"/>
                <w:szCs w:val="24"/>
              </w:rPr>
              <w:t>.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Style w:val="DefaultParagraphFont"/>
                <w:rFonts w:ascii="Times New Roman" w:eastAsia="Times New Roman" w:hAnsi="Times New Roman" w:cs="Times New Roman"/>
                <w:b/>
                <w:bCs/>
                <w:szCs w:val="24"/>
              </w:rPr>
              <w:t>217 млн. евро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Style w:val="DefaultParagraphFont"/>
                <w:rFonts w:ascii="Times New Roman" w:eastAsia="Times New Roman" w:hAnsi="Times New Roman" w:cs="Times New Roman"/>
                <w:b/>
                <w:bCs/>
                <w:szCs w:val="24"/>
              </w:rPr>
              <w:t>150 млн. евро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Style w:val="DefaultParagraphFont"/>
                <w:rFonts w:ascii="Times New Roman" w:eastAsia="Times New Roman" w:hAnsi="Times New Roman" w:cs="Times New Roman"/>
                <w:b/>
                <w:bCs/>
                <w:szCs w:val="24"/>
              </w:rPr>
              <w:t>18 хил. ж.е</w:t>
            </w:r>
            <w:r>
              <w:rPr>
                <w:rStyle w:val="DefaultParagraphFont"/>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Третата цел </w:t>
            </w:r>
            <w:r>
              <w:rPr>
                <w:rStyle w:val="DefaultParagraphFont"/>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рамките на ПО 6А Програмата цели подпомагането на </w:t>
            </w:r>
            <w:r>
              <w:rPr>
                <w:rStyle w:val="DefaultParagraphFont"/>
                <w:rFonts w:ascii="Times New Roman" w:eastAsia="Times New Roman" w:hAnsi="Times New Roman" w:cs="Times New Roman"/>
                <w:b/>
                <w:bCs/>
                <w:szCs w:val="24"/>
              </w:rPr>
              <w:t>1600 проекта</w:t>
            </w:r>
            <w:r>
              <w:rPr>
                <w:rStyle w:val="DefaultParagraphFont"/>
                <w:rFonts w:ascii="Times New Roman" w:eastAsia="Times New Roman" w:hAnsi="Times New Roman" w:cs="Times New Roman"/>
                <w:szCs w:val="24"/>
              </w:rPr>
              <w:t xml:space="preserve"> за развитие на неземеделските сектори на икономиката, водещи до създаването на </w:t>
            </w:r>
            <w:r>
              <w:rPr>
                <w:rStyle w:val="DefaultParagraphFont"/>
                <w:rFonts w:ascii="Times New Roman" w:eastAsia="Times New Roman" w:hAnsi="Times New Roman" w:cs="Times New Roman"/>
                <w:b/>
                <w:bCs/>
                <w:szCs w:val="24"/>
              </w:rPr>
              <w:t>4 300 нови работни места</w:t>
            </w:r>
            <w:r>
              <w:rPr>
                <w:rStyle w:val="DefaultParagraphFont"/>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995 хил. жители</w:t>
            </w:r>
            <w:r>
              <w:rPr>
                <w:rStyle w:val="DefaultParagraphFont"/>
                <w:rFonts w:ascii="Times New Roman" w:eastAsia="Times New Roman" w:hAnsi="Times New Roman" w:cs="Times New Roman"/>
                <w:szCs w:val="24"/>
              </w:rPr>
              <w:t xml:space="preserve">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Style w:val="DefaultParagraphFont"/>
                <w:rFonts w:ascii="Times New Roman" w:eastAsia="Times New Roman" w:hAnsi="Times New Roman" w:cs="Times New Roman"/>
                <w:b/>
                <w:bCs/>
                <w:szCs w:val="24"/>
              </w:rPr>
              <w:t>60 МИГ</w:t>
            </w:r>
            <w:r>
              <w:rPr>
                <w:rStyle w:val="DefaultParagraphFont"/>
                <w:rFonts w:ascii="Times New Roman" w:eastAsia="Times New Roman" w:hAnsi="Times New Roman" w:cs="Times New Roman"/>
                <w:szCs w:val="24"/>
              </w:rPr>
              <w:t xml:space="preserve">, обхващащи </w:t>
            </w:r>
            <w:r>
              <w:rPr>
                <w:rStyle w:val="DefaultParagraphFont"/>
                <w:rFonts w:ascii="Times New Roman" w:eastAsia="Times New Roman" w:hAnsi="Times New Roman" w:cs="Times New Roman"/>
                <w:b/>
                <w:bCs/>
                <w:szCs w:val="24"/>
              </w:rPr>
              <w:t>48%</w:t>
            </w:r>
            <w:r>
              <w:rPr>
                <w:rStyle w:val="DefaultParagraphFont"/>
                <w:rFonts w:ascii="Times New Roman" w:eastAsia="Times New Roman" w:hAnsi="Times New Roman" w:cs="Times New Roman"/>
                <w:szCs w:val="24"/>
              </w:rPr>
              <w:t xml:space="preserve">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rPr>
                <w:b w:val="0"/>
              </w:rPr>
            </w:pPr>
            <w:r>
              <w:rPr>
                <w:b w:val="0"/>
              </w:rPr>
              <w:t>М01 — Трансфер на знания и действия за осведомяване (член 14)</w:t>
            </w:r>
          </w:p>
          <w:p>
            <w:pPr>
              <w:numPr>
                <w:numId w:val="8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8"/>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M06 — Развитие на стопанства и предприятия (член 19)</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253 млн. евро публични разходи (9%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3500 стопанства и на нея е отделен 80%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109,93 млн. евро публични разходи, като по ПО 2А са програмирани 91% от тях. Основната част от средствата на подпрограмата са насочени към М06.3 – 60,9 млн.евро, като се цели подпомагане на около 4000 малки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pPr>
            <w:r>
              <w:t>М01 — Трансфер на знания и действия за осведомяване (член 14)</w:t>
            </w:r>
          </w:p>
          <w:p>
            <w:pPr>
              <w:numPr>
                <w:numId w:val="92"/>
              </w:numPr>
            </w:pPr>
            <w:r>
              <w:t>М02 —  Консултантски услуги, услуги по управление на стопанство и услуги по заместване в стопанство (член 15)</w:t>
            </w:r>
          </w:p>
          <w:p>
            <w:pPr>
              <w:numPr>
                <w:numId w:val="92"/>
              </w:numPr>
            </w:pPr>
            <w:r>
              <w:t>M04 — Инвестиции в материални активи (член 17)</w:t>
            </w:r>
          </w:p>
          <w:p>
            <w:pPr>
              <w:numPr>
                <w:numId w:val="92"/>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100,9 млн. евро публични разходи (3,5% от общия). Основната част от бюджета (76,5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rPr>
                <w:b w:val="0"/>
              </w:rPr>
            </w:pPr>
            <w:r>
              <w:rPr>
                <w:b w:val="0"/>
              </w:rPr>
              <w:t>М01 — Трансфер на знания и действия за осведомяване (член 14)</w:t>
            </w:r>
          </w:p>
          <w:p>
            <w:pPr>
              <w:numPr>
                <w:numId w:val="94"/>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4"/>
              </w:numPr>
              <w:rPr>
                <w:b w:val="0"/>
              </w:rPr>
            </w:pPr>
            <w:r>
              <w:rPr>
                <w:b w:val="0"/>
              </w:rPr>
              <w:t>M04 — Инвестиции в материални активи (член 17)</w:t>
            </w:r>
          </w:p>
          <w:p>
            <w:pPr>
              <w:numPr>
                <w:numId w:val="94"/>
              </w:numPr>
              <w:rPr>
                <w:b w:val="0"/>
              </w:rPr>
            </w:pPr>
            <w:r>
              <w:rPr>
                <w:b w:val="0"/>
              </w:rPr>
              <w:t>M06 — Развитие на стопанства и предприятия (член 19)</w:t>
            </w:r>
          </w:p>
          <w:p>
            <w:pPr>
              <w:numPr>
                <w:numId w:val="94"/>
              </w:numPr>
              <w:rPr>
                <w:b w:val="0"/>
              </w:rPr>
            </w:pPr>
            <w:r>
              <w:rPr>
                <w:b w:val="0"/>
              </w:rPr>
              <w:t>M09 — Създаване на групи и организации на производителите (член 27)</w:t>
            </w:r>
          </w:p>
          <w:p>
            <w:pPr>
              <w:numPr>
                <w:numId w:val="94"/>
              </w:numPr>
              <w:rPr>
                <w:b w:val="0"/>
              </w:rPr>
            </w:pPr>
            <w:r>
              <w:rPr>
                <w:b w:val="0"/>
              </w:rPr>
              <w:t>M14 — Хуманно отношение към животните (член 33)</w:t>
            </w:r>
          </w:p>
          <w:p>
            <w:pPr>
              <w:numPr>
                <w:numId w:val="94"/>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272,5 млн. евро или 9,3%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1555 проекта, като тя има бюджет от 191,9 млн. евро публични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57 млн.евро. Целта е да бъдат подпомогнати над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Индикативният бюджет на тази ПО е 37,1 млн. евро публични разходи или 1,4% от общия. Чрез М17 ще се подпомагат се финансовите вноски във взаимоспомагателни фондове за компенсиране на земеделските стопани за икономически загуби, причинени от неблагоприятни климатични явления или от поява на болест по животните или по растенията, или от нашествие на вредители или екологичен инцидент. Мярката ще започне да се прилага след извършване на анализ на ползите и разходите и приложимостта, на основата на който ще се разработи механизмът за прилагане. Индикативният бюджет на мярката е 36,7 млн. евро и е временно прикрепен към бюджета на М 04 по ПО2А.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rPr>
                <w:b w:val="0"/>
              </w:rPr>
            </w:pPr>
            <w:r>
              <w:rPr>
                <w:b w:val="0"/>
              </w:rPr>
              <w:t>М01 — Трансфер на знания и действия за осведомяване (член 14)</w:t>
            </w:r>
          </w:p>
          <w:p>
            <w:pPr>
              <w:numPr>
                <w:numId w:val="96"/>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6"/>
              </w:numPr>
              <w:rPr>
                <w:b w:val="0"/>
              </w:rPr>
            </w:pPr>
            <w:r>
              <w:rPr>
                <w:b w:val="0"/>
              </w:rPr>
              <w:t>M04 — Инвестиции в материални активи (член 17)</w:t>
            </w:r>
          </w:p>
          <w:p>
            <w:pPr>
              <w:numPr>
                <w:numId w:val="96"/>
              </w:numPr>
              <w:rPr>
                <w:b w:val="0"/>
              </w:rPr>
            </w:pPr>
            <w:r>
              <w:rPr>
                <w:b w:val="0"/>
              </w:rPr>
              <w:t>M10 — Агроекология и климат (член 28)</w:t>
            </w:r>
          </w:p>
          <w:p>
            <w:pPr>
              <w:numPr>
                <w:numId w:val="96"/>
              </w:numPr>
              <w:rPr>
                <w:b w:val="0"/>
              </w:rPr>
            </w:pPr>
            <w:r>
              <w:rPr>
                <w:b w:val="0"/>
              </w:rPr>
              <w:t>М11 — Биологично земеделие (член 29)</w:t>
            </w:r>
          </w:p>
          <w:p>
            <w:pPr>
              <w:numPr>
                <w:numId w:val="96"/>
              </w:numPr>
              <w:rPr>
                <w:b w:val="0"/>
              </w:rPr>
            </w:pPr>
            <w:r>
              <w:rPr>
                <w:b w:val="0"/>
              </w:rPr>
              <w:t>M12 — Плащания по „Натура 2000“ и Рамковата директива за водите (член 30)</w:t>
            </w:r>
          </w:p>
          <w:p>
            <w:pPr>
              <w:numPr>
                <w:numId w:val="96"/>
              </w:numPr>
              <w:rPr>
                <w:b w:val="0"/>
              </w:rPr>
            </w:pPr>
            <w:r>
              <w:rPr>
                <w:b w:val="0"/>
              </w:rPr>
              <w:t>М13 — Плащания за райони, изправени пред природни или други специфични ограничения (член 31)</w:t>
            </w:r>
          </w:p>
          <w:p>
            <w:pPr>
              <w:numPr>
                <w:numId w:val="96"/>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rPr>
                <w:b w:val="0"/>
              </w:rPr>
            </w:pPr>
            <w:r>
              <w:rPr>
                <w:b w:val="0"/>
              </w:rPr>
              <w:t>М08 — Инвестиции в развитие на горските райони и подобряване на жизнеспособността на горите (членове 21 — 26)</w:t>
            </w:r>
          </w:p>
          <w:p>
            <w:pPr>
              <w:numPr>
                <w:numId w:val="97"/>
              </w:numPr>
              <w:rPr>
                <w:b w:val="0"/>
              </w:rPr>
            </w:pPr>
            <w:r>
              <w:rPr>
                <w:b w:val="0"/>
              </w:rPr>
              <w:t>M12 — Плащания по „Натура 2000“ и Рамковата директива за водите (член 30)</w:t>
            </w:r>
          </w:p>
          <w:p>
            <w:pPr>
              <w:numPr>
                <w:numId w:val="97"/>
              </w:numPr>
              <w:rPr>
                <w:b w:val="0"/>
              </w:rPr>
            </w:pPr>
            <w:r>
              <w:rPr>
                <w:b w:val="0"/>
              </w:rP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Приоритет 4 е отделен бюджет от  983,1 млн. евро публични разходи или 33,7% от общия бюджет на Програмата. В рамките на приоритета са избрани: 1) мерки – М01, М02 и М16, които имат бюджет 16,9 млн. евро; 2)  мерки– М10, М11, М12,М13, с бюджет 780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158,2 млн. евро; 4) мерки за екосистемни услуги в горите, с бюджет 25,81 млн.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адресиране на потребностите на приоритетна област 4А са избрани 10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 и М15).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p>
            <w:pPr>
              <w:numPr>
                <w:numId w:val="98"/>
              </w:numPr>
            </w:pPr>
            <w:r>
              <w:t>М02 —  Консултантски услуги, услуги по управление на стопанство и услуги по заместване в стопанство (член 15)</w:t>
            </w:r>
          </w:p>
          <w:p>
            <w:pPr>
              <w:numPr>
                <w:numId w:val="98"/>
              </w:numPr>
            </w:pPr>
            <w:r>
              <w:t>M04 — Инвестиции в материални активи (член 17)</w:t>
            </w:r>
          </w:p>
          <w:p>
            <w:pPr>
              <w:numPr>
                <w:numId w:val="98"/>
              </w:numPr>
            </w:pPr>
            <w:r>
              <w:t>M10 — Агроекология и климат (член 28)</w:t>
            </w:r>
          </w:p>
          <w:p>
            <w:pPr>
              <w:numPr>
                <w:numId w:val="98"/>
              </w:numPr>
            </w:pPr>
            <w:r>
              <w:t>М11 — Биологично земеделие (член 29)</w:t>
            </w:r>
          </w:p>
          <w:p>
            <w:pPr>
              <w:numPr>
                <w:numId w:val="98"/>
              </w:numPr>
            </w:pPr>
            <w:r>
              <w:t>M12 — Плащания по „Натура 2000“ и Рамковата директива за водите (член 30)</w:t>
            </w:r>
          </w:p>
          <w:p>
            <w:pPr>
              <w:numPr>
                <w:numId w:val="98"/>
              </w:numPr>
            </w:pPr>
            <w:r>
              <w:t>М13 — Плащания за райони, изправени пред природни или други специфични ограничения (член 31)</w:t>
            </w:r>
          </w:p>
          <w:p>
            <w:pPr>
              <w:numPr>
                <w:numId w:val="98"/>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pPr>
            <w:r>
              <w:t>М08 — Инвестиции в развитие на горските райони и подобряване на жизнеспособността на горите (членове 21 — 26)</w:t>
            </w:r>
          </w:p>
          <w:p>
            <w:pPr>
              <w:numPr>
                <w:numId w:val="99"/>
              </w:numPr>
            </w:pPr>
            <w:r>
              <w:t>M12 — Плащания по „Натура 2000“ и Рамковата директива за водите (член 30)</w:t>
            </w:r>
          </w:p>
          <w:p>
            <w:pPr>
              <w:numPr>
                <w:numId w:val="99"/>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M10 — Агроекология и климат (член 28)</w:t>
            </w:r>
          </w:p>
          <w:p>
            <w:pPr>
              <w:numPr>
                <w:numId w:val="100"/>
              </w:numPr>
            </w:pPr>
            <w:r>
              <w:t>М11 — Биологично земеделие (член 29)</w:t>
            </w:r>
          </w:p>
          <w:p>
            <w:pPr>
              <w:numPr>
                <w:numId w:val="100"/>
              </w:numPr>
            </w:pPr>
            <w:r>
              <w:t>M12 — Плащания по „Натура 2000“ и Рамковата директива за водите (член 30)</w:t>
            </w:r>
          </w:p>
          <w:p>
            <w:pPr>
              <w:numPr>
                <w:numId w:val="100"/>
              </w:numPr>
            </w:pPr>
            <w:r>
              <w:t>М13 — Плащания за райони, изправени пред природни или други специфични ограничения (член 31)</w:t>
            </w:r>
          </w:p>
          <w:p>
            <w:pPr>
              <w:numPr>
                <w:numId w:val="100"/>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М08 — Инвестиции в развитие на горските райони и подобряване на жизнеспособността на горите (членове 21 — 26)</w:t>
            </w:r>
          </w:p>
          <w:p>
            <w:pPr>
              <w:numPr>
                <w:numId w:val="101"/>
              </w:numPr>
            </w:pPr>
            <w:r>
              <w:t>M12 — Плащания по „Натура 2000“ и Рамковата директива за водите (член 30)</w:t>
            </w:r>
          </w:p>
          <w:p>
            <w:pPr>
              <w:numPr>
                <w:numId w:val="101"/>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rPr>
                <w:b w:val="0"/>
              </w:rPr>
            </w:pPr>
            <w:r>
              <w:rPr>
                <w:b w:val="0"/>
              </w:rPr>
              <w:t>М01 — Трансфер на знания и действия за осведомяване (член 14)</w:t>
            </w:r>
          </w:p>
          <w:p>
            <w:pPr>
              <w:numPr>
                <w:numId w:val="102"/>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2"/>
              </w:numPr>
              <w:rPr>
                <w:b w:val="0"/>
              </w:rPr>
            </w:pPr>
            <w:r>
              <w:rPr>
                <w:b w:val="0"/>
              </w:rPr>
              <w:t>M04 — Инвестиции в материални активи (член 17)</w:t>
            </w:r>
          </w:p>
          <w:p>
            <w:pPr>
              <w:numPr>
                <w:numId w:val="102"/>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105 млн. евро публични разходи или 3,6%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 част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M04 — Инвестиции в материални активи (член 17)</w:t>
            </w:r>
          </w:p>
          <w:p>
            <w:pPr>
              <w:numPr>
                <w:numId w:val="10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123 млн.евро, или 4,2%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pPr>
            <w:r>
              <w:t>М01 — Трансфер на знания и действия за осведомяване (член 14)</w:t>
            </w:r>
          </w:p>
          <w:p>
            <w:pPr>
              <w:numPr>
                <w:numId w:val="104"/>
              </w:numPr>
            </w:pPr>
            <w:r>
              <w:t>М02 —  Консултантски услуги, услуги по управление на стопанство и услуги по заместване в стопанство (член 15)</w:t>
            </w:r>
          </w:p>
          <w:p>
            <w:pPr>
              <w:numPr>
                <w:numId w:val="104"/>
              </w:numPr>
            </w:pPr>
            <w:r>
              <w:t>M04 — Инвестиции в материални активи (член 17)</w:t>
            </w:r>
          </w:p>
          <w:p>
            <w:pPr>
              <w:numPr>
                <w:numId w:val="104"/>
              </w:numPr>
            </w:pPr>
            <w:r>
              <w:t>М07 — Основни услуги и обновяване на селата в селските райони (член 20)</w:t>
            </w:r>
          </w:p>
          <w:p>
            <w:pPr>
              <w:numPr>
                <w:numId w:val="104"/>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115,2 млн.евро или 4% от общия.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43,3 млн. евро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5"/>
              </w:numPr>
            </w:pPr>
            <w:r>
              <w:t>М01 — Трансфер на знания и действия за осведомяване (член 14)</w:t>
            </w:r>
          </w:p>
          <w:p>
            <w:pPr>
              <w:numPr>
                <w:numId w:val="105"/>
              </w:numPr>
            </w:pPr>
            <w:r>
              <w:t>М02 —  Консултантски услуги, услуги по управление на стопанство и услуги по заместване в стопанство (член 15)</w:t>
            </w:r>
          </w:p>
          <w:p>
            <w:pPr>
              <w:numPr>
                <w:numId w:val="105"/>
              </w:numPr>
            </w:pPr>
            <w:r>
              <w:t>M04 — Инвестиции в материални активи (член 17)</w:t>
            </w:r>
          </w:p>
          <w:p>
            <w:pPr>
              <w:numPr>
                <w:numId w:val="105"/>
              </w:numPr>
            </w:pPr>
            <w:r>
              <w:t>M10 — Агроекология и климат (член 28)</w:t>
            </w:r>
          </w:p>
          <w:p>
            <w:pPr>
              <w:numPr>
                <w:numId w:val="105"/>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55,8 млн.евро или 1,9% от бюджета на ПРСР.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Програмираният бюджет е 42,7 млн. евро или 77% от общия за ПО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7,000 ха, като на тази мярка е отделен 14% от бюджета на ПО 5Г (8 млн.евро).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6"/>
              </w:numPr>
            </w:pPr>
            <w:r>
              <w:t>М01 — Трансфер на знания и действия за осведомяване (член 14)</w:t>
            </w:r>
          </w:p>
          <w:p>
            <w:pPr>
              <w:numPr>
                <w:numId w:val="106"/>
              </w:numPr>
            </w:pPr>
            <w:r>
              <w:t>М02 —  Консултантски услуги, услуги по управление на стопанство и услуги по заместване в стопанство (член 15)</w:t>
            </w:r>
          </w:p>
          <w:p>
            <w:pPr>
              <w:numPr>
                <w:numId w:val="106"/>
              </w:numPr>
            </w:pPr>
            <w:r>
              <w:t>М08 — Инвестиции в развитие на горските райони и подобряване на жизнеспособността на горите (членове 21 — 26)</w:t>
            </w:r>
          </w:p>
          <w:p>
            <w:pPr>
              <w:numPr>
                <w:numId w:val="10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31,2 млн. евро публични разходи, или 1,1%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7"/>
              </w:numPr>
              <w:rPr>
                <w:b w:val="0"/>
              </w:rPr>
            </w:pPr>
            <w:r>
              <w:rPr>
                <w:b w:val="0"/>
              </w:rP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127,9 млн.евро публични разходи или 4,4% от общите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М06.2 и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1600 проекта, водещи до създаване на 4300 работни места.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8"/>
              </w:numPr>
            </w:pPr>
            <w:r>
              <w:t>М07 — Основни услуги и обновяване на селата в селските райони (член 20)</w:t>
            </w:r>
          </w:p>
          <w:p>
            <w:pPr>
              <w:numPr>
                <w:numId w:val="108"/>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657,2 млн. евро или 22,5% от общите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131,5 млн.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9"/>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Пряко адресирани</w:t>
            </w:r>
            <w:r>
              <w:rPr>
                <w:rStyle w:val="DefaultParagraphFont"/>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Интегрирани</w:t>
            </w:r>
            <w:r>
              <w:rPr>
                <w:rStyle w:val="DefaultParagraphFont"/>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Околна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Интервенциите по Приоритет 5, към който са насочени 15%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Климат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Програмирани са мерки по всички приоритетни области на Приоритет 5, на които се пада 15%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Програмата ще </w:t>
            </w:r>
            <w:r>
              <w:rPr>
                <w:rStyle w:val="DefaultParagraphFont"/>
                <w:rFonts w:ascii="Times New Roman" w:eastAsia="Times New Roman" w:hAnsi="Times New Roman" w:cs="Times New Roman"/>
                <w:szCs w:val="24"/>
                <w:u w:val="single"/>
              </w:rPr>
              <w:t>интегрира</w:t>
            </w:r>
            <w:r>
              <w:rPr>
                <w:rStyle w:val="DefaultParagraphFont"/>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Повишаване на информираността</w:t>
            </w:r>
            <w:r>
              <w:rPr>
                <w:rStyle w:val="DefaultParagraphFont"/>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Стимулиране на разработването</w:t>
            </w:r>
            <w:r>
              <w:rPr>
                <w:rStyle w:val="DefaultParagraphFont"/>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Приоритизиране на проектите</w:t>
            </w:r>
            <w:r>
              <w:rPr>
                <w:rStyle w:val="DefaultParagraphFont"/>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Мониторинг и оценка</w:t>
            </w:r>
            <w:r>
              <w:rPr>
                <w:rStyle w:val="DefaultParagraphFont"/>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Style w:val="DefaultParagraphFont"/>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Style w:val="DefaultParagraphFont"/>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2,67</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0,94</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253 067 467,60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0,83</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100 864 735,10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18 000 000,00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272 554 037,20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shd w:val="clear" w:color="auto" w:fill="FFFFFF"/>
            <w:noWrap w:val="0"/>
            <w:tcMar>
              <w:top w:w="20" w:type="dxa"/>
              <w:bottom w:w="20" w:type="dxa"/>
            </w:tcMar>
            <w:vAlign w:val="center"/>
          </w:tcPr>
          <w:p>
            <w:pPr>
              <w:spacing w:before="20" w:after="20"/>
              <w:jc w:val="right"/>
              <w:rPr>
                <w:b w:val="0"/>
                <w:sz w:val="16"/>
              </w:rPr>
            </w:pPr>
            <w:r>
              <w:rPr>
                <w:b w:val="0"/>
                <w:sz w:val="16"/>
              </w:rPr>
              <w:t>350 000,00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12,00</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955 417 399,60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1,18</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2,56</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27 680 623,20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 M15</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2,31</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49,78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105 286 971,10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216 674 111,30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123 152 677,90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149 544 703,80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115 211 488,70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1,58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55 841 250,60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31 156 389,70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127 945 241,00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657 210 187,30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30 000 000,00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 НССЗ и БАБХ в т.ч.:</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планирани дейности са: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 НССЗ и БАБХ.</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и храните.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o   </w:t>
            </w:r>
            <w:r>
              <w:rPr>
                <w:rStyle w:val="DefaultParagraphFont"/>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и храните и съгласно чл. 3 и чл. 4 на Правилника за устройството и дейността на НССЗ, Министърът на земеделието и храните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НССЗ е единствената организация в структурата на МЗХ, специализирана в предоставянето на консултантски услуги на българските фермери, като консултациите обхващат широка проблематика. </w:t>
            </w:r>
            <w:r>
              <w:rPr>
                <w:rStyle w:val="DefaultParagraphFont"/>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Style w:val="DefaultParagraphFont"/>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 3A, 6B, 5C, 3B, 1A, 6C, 1B, 1C, 5A, 2A, 5B, 6A, 2B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M02, M04, M06, M08, M16, M11, M12, M09, M13, M01, M07, M14, M15,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5B, 6A, 1C, 1B, 6B, 2B, 5C, 3B, 2A, 5E, 1A, 5A, 5D, 6C, 3A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M13, M09, M04, M08, M15, M14, M02, M12, M01, M10, M11, M19, M16, M06,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2B, 1A, 5E, 1C, 5A, 6A, 3B, 1B, 5B, 6C, 2A, 3A, 5D, 5C,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M04, M16, M01, M06, M08, M19, M10, M13, M14, M15, M12, M07, M09,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2A, 5A, 5C,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M02, M19, M04,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6C, 6A,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M16, M19, M02, M06, M04, M15, M01,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5C, 2A, 5A, 5B,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M19, M04, M07, M02,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3B, 6B, 6C, 1B, 5E, 6A, 2B, 5A, 3A, 5C, 5B, 1C, 2A, 1A,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M14, M15, M10, M16, M04, M07, M06, M01, M02, M09, M08, M12, M11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10"/>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Стратегия за намаляване на риска от бедствия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http://www.nspbzn.mvr.bg/Strategicheski_dokumenti/default.htm</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1"/>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http://www.nspbzn.mvr.bg/Norm_uredba/drugi.htm</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http://www.nspbzn.mvr.bg/Norm_uredba/naredba_bedstvia.htm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2"/>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http://www.strategy.bg/StrategicDocuments/View.aspx?lang=bg-BG&amp;Id=550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http://www.strategy.bg/StrategicDocuments/View.aspx?lang=bg-BG&amp;Id=664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http://www.strategy.bg/Links.aspx?lang=bg-BG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http://www.bsbd.org/UserFiles//File/Copy%20of%20BSBD_PFRA_v2.pdf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http://www.bdibr.org/details.php?p_id=243&amp;id=276;</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на заседание на МС на 27.11.2013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http://www.mzh.government.bg/MZH/bg/ShortLinks/cross.compliance/Gorskisector.aspx.</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http://www.nug.bg/docs/lang/1/cat/3/index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http://www.nug.bg/docs/lang/1/cat/3/index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http://www.farmer.bg/news_view.php?id=1905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http://www.strategy.bg/StrategicDocuments/View.aspx?lang=bg-BG&amp;Id=760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http://www.moew.government.bg/?show=html&amp;hid=180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Картографиране на свлачищата в страната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http://www.mzh.government.bg/MZH/bg/ShortLinks/cross_compliance.aspx</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http://www.seea.government.bg/documents/Naredba%207.pdf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http://www.mi.government.bg/bg/library/zakon-za-energetikata-256-c25-m258-2.html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ел. енергията – чл. 120 от ЗЕ;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http://www.mi.government.bg/bg/library/zakon-za-energetikata-256-c25-m258-2.html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Планове за управление на речните басейни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http://www3.moew.government.bg/?show=top&amp;cid=66&amp;lang=bg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http://www3.moew.government.bg/files/file/Water/Legislation/Zakoni/ZAKON_za_vodite.pdf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Законодателство в областта на водния сектор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http://dker.bg/docsbg.php?d=8&amp;subD=30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22, чл. 23, чл. 27, чл. 29, чл. 52 на ЗЕВИ;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http://www.mi.government.bg/bg/library/zakon-za-energetikata-256-c25-m258-1.html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http://dker.bg/docsbg.php?d=8&amp;subD=30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http://www.strategy.bg/StrategicDocuments/View.aspx?lang=bg-BG&amp;Id=781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-Комисия за защита от 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Съюза на юристите в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i/>
                <w:iCs/>
                <w:sz w:val="15"/>
                <w:szCs w:val="15"/>
              </w:rPr>
              <w:t>-</w:t>
            </w:r>
            <w:r>
              <w:rPr>
                <w:rStyle w:val="DefaultParagraphFont"/>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3"/>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3"/>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3"/>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3"/>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тематични изследвания и анализи;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4"/>
              </w:numPr>
              <w:spacing w:before="15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5"/>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5"/>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5"/>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5"/>
              </w:numPr>
              <w:spacing w:before="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5"/>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http://www.government.bg/cgi-bin/e-cms/vis/vis.pl?s=001&amp;p=0211&amp;n=99&amp;g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Приета с РМС № 498/11.07.2014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прилагане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провеждане на конкурси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по чл. 13, ал. 3 от Закона за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http://www.aop.bg/fckedit2/user/File/bg/Normativna%20baza/PPZOP_09032012.pdf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http://www.aop.bg/fckedit2/user/File/bg/Normativna%20baza/Naredba_konkursi.pdf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http://www.aop.bg/fckedit2/user/File/bg/Normativna%20baza/Naredba_27082013.pdf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•АОП - национален орган, който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•УО на ОП, които също осъществяват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http://www.minfin.bg/bg/page/10?q=%D0%94%D0%9D%D0%A4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http://rop3-app1.aop.bg:7778/portal/page?_pageid=93,408251&amp;_dad=portal&amp;_schema=PORTAL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http://www.aop.bg/fckedit2/user/File/bg/Normativna%20baza/ZOP_15_02_2013.pdf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http://www.aop.bg/fckedit2/user/File/bg/Normativna%20baza/PPZOP_09032012.pdf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Регистъра на обществените поръчки (РОП);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публикуваните публични покани;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друга информация.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http://rop3-app1.aop.bg:7778/portal/page?_pageid=93,168247&amp;_dad=portal&amp;_schema=PORTAL</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По-важните от тях 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6"/>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7"/>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(ПМС  26/2007, изм. ПМС 97/2007, ПМС 10/2009, ПМС 3/2010)</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numPr>
                <w:ilvl w:val="0"/>
                <w:numId w:val="118"/>
              </w:numPr>
              <w:spacing w:before="15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Източници на специализирана информация:</w:t>
            </w:r>
          </w:p>
          <w:p>
            <w:pPr>
              <w:numPr>
                <w:ilvl w:val="0"/>
                <w:numId w:val="119"/>
              </w:numPr>
              <w:spacing w:before="150" w:after="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 </w:t>
            </w:r>
          </w:p>
          <w:p>
            <w:pPr>
              <w:numPr>
                <w:ilvl w:val="0"/>
                <w:numId w:val="119"/>
              </w:numPr>
              <w:spacing w:before="0" w:after="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http://minimis.minfin.bg/ </w:t>
            </w:r>
          </w:p>
          <w:p>
            <w:pPr>
              <w:numPr>
                <w:ilvl w:val="0"/>
                <w:numId w:val="119"/>
              </w:numPr>
              <w:spacing w:before="0" w:after="150"/>
              <w:ind w:left="720" w:hanging="212"/>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http://www.minfin.bg/en/page/12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20"/>
              </w:numPr>
              <w:spacing w:before="150" w:after="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20"/>
              </w:numPr>
              <w:spacing w:before="0" w:after="150"/>
              <w:ind w:left="720" w:hanging="16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http://stateaid.minfin.bg/</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http://www3.moew.government.bg/files/file/Industry/Legislation/Zakoni/ZOOS.pdf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http://www.moew.government.bg/?show=top&amp;cid=233&amp;lang=en</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Създаден е общ електронен адрес 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http://www.moew.government.bg/?show=top&amp;cid=233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http://www.moew.government.bg/?show=164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http://www.nsi.bg/img/uplf/StdInd2013.pdf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http://www.nsi.bg/img/uplf_e/StdInd2013_en.pdf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http://www.nsi.bg/files/Quality/1.1.%20CoP_ALL_BG.pdf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http://www.nsi.bg/files/Quality/QUALITY_NSI_Declaration.pdf</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Закон за статистиката: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http://www.nsi.bg/dokument.php?P=64&amp;SP=102&amp;NSP=1#cont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http://www.nsi.bg/dokument.php?P=64&amp;SP=102&amp;NSP=36#cont</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вж. Приложение 3, р-л 6.3 )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Специфични действия за ПРСР:</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3.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4.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5.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Картографиране на рисковете от бедствия.</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Междинни стъпки:</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Проект на програма от мерки за всеки РБУ – 2015 г.</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За допълнителна информация Виж приложение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3.</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4.</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5.</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6.</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7.</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8.</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 Хидромелиорации:</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1</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Действие 2.</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https://www.mtitc.government.bg/page.php?category=466&amp;id=7725</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Style w:val="DefaultParagraphFont"/>
                <w:rFonts w:ascii="Times New Roman" w:eastAsia="Times New Roman" w:hAnsi="Times New Roman" w:cs="Times New Roman"/>
                <w:sz w:val="15"/>
                <w:szCs w:val="15"/>
              </w:rPr>
            </w:pPr>
            <w:r>
              <w:rPr>
                <w:rStyle w:val="DefaultParagraphFont"/>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5"/>
        <w:gridCol w:w="1647"/>
        <w:gridCol w:w="3140"/>
        <w:gridCol w:w="1294"/>
        <w:gridCol w:w="2011"/>
        <w:gridCol w:w="1400"/>
        <w:gridCol w:w="17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Етапна цел 2018 г. % (в)</w:t>
            </w:r>
          </w:p>
        </w:tc>
        <w:tc>
          <w:tcPr>
            <w:tcW w:w="10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6 560,00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1 640,00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371 932 202,70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92 983 050,68</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272 904 037,20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54 580 807,44</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90,00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left"/>
            </w:pPr>
          </w:p>
        </w:tc>
        <w:tc>
          <w:tcPr>
            <w:tcW w:w="800" w:type="pct"/>
            <w:shd w:val="clear" w:color="auto" w:fill="FFFFFF"/>
            <w:noWrap w:val="0"/>
            <w:tcMar>
              <w:top w:w="20" w:type="dxa"/>
              <w:bottom w:w="20" w:type="dxa"/>
            </w:tcMar>
            <w:vAlign w:val="center"/>
          </w:tcPr>
          <w:p>
            <w:pPr>
              <w:jc w:val="left"/>
            </w:pPr>
          </w:p>
        </w:tc>
        <w:tc>
          <w:tcPr>
            <w:tcW w:w="400" w:type="pct"/>
            <w:shd w:val="clear" w:color="auto" w:fill="FFFFFF"/>
            <w:noWrap w:val="0"/>
            <w:tcMar>
              <w:top w:w="20" w:type="dxa"/>
              <w:bottom w:w="20" w:type="dxa"/>
            </w:tcMar>
            <w:vAlign w:val="center"/>
          </w:tcPr>
          <w:p>
            <w:pPr>
              <w:jc w:val="left"/>
            </w:pPr>
            <w:r>
              <w:t>30%</w:t>
            </w:r>
          </w:p>
        </w:tc>
        <w:tc>
          <w:tcPr>
            <w:tcW w:w="800" w:type="pct"/>
            <w:shd w:val="clear" w:color="auto" w:fill="FFFFFF"/>
            <w:noWrap w:val="0"/>
            <w:tcMar>
              <w:top w:w="20" w:type="dxa"/>
              <w:bottom w:w="20" w:type="dxa"/>
            </w:tcMar>
            <w:vAlign w:val="center"/>
          </w:tcPr>
          <w:p>
            <w:pPr>
              <w:jc w:val="left"/>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983 098 022,80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196 619 604,56</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604 000,00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60%</w:t>
            </w:r>
          </w:p>
        </w:tc>
        <w:tc>
          <w:tcPr>
            <w:tcW w:w="800" w:type="pct"/>
            <w:shd w:val="clear" w:color="auto" w:fill="FFFFFF"/>
            <w:noWrap w:val="0"/>
            <w:tcMar>
              <w:top w:w="20" w:type="dxa"/>
              <w:bottom w:w="20" w:type="dxa"/>
            </w:tcMar>
            <w:vAlign w:val="center"/>
          </w:tcPr>
          <w:p>
            <w:pPr>
              <w:jc w:val="right"/>
            </w:pPr>
            <w:r>
              <w:t>362 400,00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430 648 778,00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35%</w:t>
            </w:r>
          </w:p>
        </w:tc>
        <w:tc>
          <w:tcPr>
            <w:tcW w:w="800" w:type="pct"/>
            <w:shd w:val="clear" w:color="auto" w:fill="FFFFFF"/>
            <w:noWrap w:val="0"/>
            <w:tcMar>
              <w:top w:w="20" w:type="dxa"/>
              <w:bottom w:w="20" w:type="dxa"/>
            </w:tcMar>
            <w:vAlign w:val="center"/>
          </w:tcPr>
          <w:p>
            <w:pPr>
              <w:jc w:val="right"/>
            </w:pPr>
            <w:r>
              <w:t>150 727 072,30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54 050,00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13 512,50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740,00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148,00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815 155 428,30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203 788 857,08</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939,00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234,75</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100%</w:t>
            </w: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6 560,00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1 640,00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Общо публични разходи П2 (в евро)</w:t>
      </w:r>
    </w:p>
    <w:p>
      <w:r>
        <w:t xml:space="preserve">Applicable: </w:t>
      </w:r>
      <w:r>
        <w:t>Да</w:t>
      </w:r>
    </w:p>
    <w:p>
      <w:r>
        <w:t xml:space="preserve">Цел за 2023 г. (а): </w:t>
      </w:r>
      <w:r>
        <w:t>371 932 202,70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92 983 050,68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272 904 037,20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54 580 807,44</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450,00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90,00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0,00</w:t>
      </w:r>
    </w:p>
    <w:p>
      <w:r>
        <w:t xml:space="preserve">Корекции за допълнителни плащания (б): </w:t>
      </w:r>
    </w:p>
    <w:p>
      <w:r>
        <w:t xml:space="preserve">Етапна цел 2018 г. % (в): </w:t>
      </w:r>
      <w:r>
        <w:t>30%</w:t>
      </w:r>
    </w:p>
    <w:p>
      <w:r>
        <w:t xml:space="preserve">Абсолютна стойност на етапната цел (а-б) * в: </w:t>
      </w:r>
      <w:r>
        <w:t>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tc>
      </w:tr>
    </w:tbl>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983 098 022,80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196 619 604,56</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604 000,00</w:t>
      </w:r>
    </w:p>
    <w:p>
      <w:r>
        <w:t xml:space="preserve">Корекции за допълнителни плащания (б): </w:t>
      </w:r>
    </w:p>
    <w:p>
      <w:r>
        <w:t xml:space="preserve">Етапна цел 2018 г. % (в): </w:t>
      </w:r>
      <w:r>
        <w:t>60%</w:t>
      </w:r>
    </w:p>
    <w:p>
      <w:r>
        <w:t xml:space="preserve">Абсолютна стойност на етапната цел (а-б) * в: </w:t>
      </w:r>
      <w:r>
        <w:t>362 400,00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430 648 778,00</w:t>
      </w:r>
    </w:p>
    <w:p>
      <w:r>
        <w:t xml:space="preserve">Корекции за допълнителни плащания (б): </w:t>
      </w:r>
    </w:p>
    <w:p>
      <w:r>
        <w:t xml:space="preserve">Етапна цел 2018 г. % (в): </w:t>
      </w:r>
      <w:r>
        <w:t>35%</w:t>
      </w:r>
    </w:p>
    <w:p>
      <w:r>
        <w:t xml:space="preserve">Абсолютна стойност на етапната цел (а-б) * в: </w:t>
      </w:r>
      <w:r>
        <w:t>150 727 072,30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54 050,00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13 512,50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740,00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148,00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815 155 428,30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203 788 857,08</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939,00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234,75</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Етапна цел 2018 г. % (в): </w:t>
      </w:r>
      <w:r>
        <w:t>100%</w:t>
      </w:r>
    </w:p>
    <w:p>
      <w:r>
        <w:t xml:space="preserve">Абсолютна стойност на етапната цел (а-б) * в: </w:t>
      </w:r>
      <w:r>
        <w:t>1 370 000,00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1"/>
        <w:gridCol w:w="1856"/>
        <w:gridCol w:w="2380"/>
        <w:gridCol w:w="1664"/>
        <w:gridCol w:w="2054"/>
        <w:gridCol w:w="1722"/>
        <w:gridCol w:w="19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Етапна цел 2018 г. % (в)</w:t>
            </w:r>
          </w:p>
        </w:tc>
        <w:tc>
          <w:tcPr>
            <w:tcW w:w="8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змеделска продукция</w:t>
            </w:r>
          </w:p>
        </w:tc>
        <w:tc>
          <w:tcPr>
            <w:tcW w:w="800" w:type="pct"/>
            <w:shd w:val="clear" w:color="auto" w:fill="FFFFFF"/>
            <w:noWrap w:val="0"/>
            <w:tcMar>
              <w:top w:w="20" w:type="dxa"/>
              <w:bottom w:w="20" w:type="dxa"/>
            </w:tcMar>
            <w:vAlign w:val="center"/>
          </w:tcPr>
          <w:p>
            <w:pPr>
              <w:jc w:val="right"/>
            </w:pPr>
            <w:r>
              <w:t>1 555,00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311,00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змеделска продукция</w:t>
      </w:r>
    </w:p>
    <w:p>
      <w:r>
        <w:rPr>
          <w:b w:val="0"/>
        </w:rPr>
        <w:t xml:space="preserve">Applicable: </w:t>
      </w:r>
      <w:r>
        <w:t>Да</w:t>
      </w:r>
    </w:p>
    <w:p>
      <w:r>
        <w:t xml:space="preserve">Цел за 2023 г. (а): </w:t>
      </w:r>
      <w:r>
        <w:t>1 555,00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311,00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40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w:t>
            </w:r>
          </w:p>
        </w:tc>
      </w:tr>
    </w:tbl>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839"/>
        <w:gridCol w:w="1795"/>
        <w:gridCol w:w="1853"/>
        <w:gridCol w:w="1853"/>
        <w:gridCol w:w="1540"/>
        <w:gridCol w:w="1629"/>
        <w:gridCol w:w="151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 от което се заделят средства за резерва за изпълнение</w:t>
            </w:r>
          </w:p>
        </w:tc>
        <w:tc>
          <w:tcPr>
            <w:tcW w:w="850" w:type="pct"/>
            <w:shd w:val="clear" w:color="auto" w:fill="C0C0C0"/>
            <w:noWrap w:val="0"/>
            <w:tcMar>
              <w:top w:w="20" w:type="dxa"/>
              <w:bottom w:w="20" w:type="dxa"/>
            </w:tcMar>
            <w:vAlign w:val="center"/>
          </w:tcPr>
          <w:p>
            <w:pPr>
              <w:jc w:val="left"/>
              <w:rPr>
                <w:b/>
              </w:rPr>
            </w:pPr>
            <w:r>
              <w:rPr>
                <w:b/>
              </w:rPr>
              <w:t>Резерв за изпълнение (в евро)</w:t>
            </w:r>
          </w:p>
        </w:tc>
        <w:tc>
          <w:tcPr>
            <w:tcW w:w="450" w:type="pct"/>
            <w:shd w:val="clear" w:color="auto" w:fill="C0C0C0"/>
            <w:noWrap w:val="0"/>
            <w:tcMar>
              <w:top w:w="20" w:type="dxa"/>
              <w:bottom w:w="20" w:type="dxa"/>
            </w:tcMar>
            <w:vAlign w:val="center"/>
          </w:tcPr>
          <w:p>
            <w:pPr>
              <w:jc w:val="left"/>
              <w:rPr>
                <w:b/>
              </w:rPr>
            </w:pPr>
            <w:r>
              <w:rPr>
                <w:b/>
              </w:rPr>
              <w:t>Минимален размер на резерва за изпълнение (минимум 5 %)</w:t>
            </w:r>
          </w:p>
        </w:tc>
        <w:tc>
          <w:tcPr>
            <w:tcW w:w="450" w:type="pct"/>
            <w:shd w:val="clear" w:color="auto" w:fill="C0C0C0"/>
            <w:noWrap w:val="0"/>
            <w:tcMar>
              <w:top w:w="20" w:type="dxa"/>
              <w:bottom w:w="20" w:type="dxa"/>
            </w:tcMar>
            <w:vAlign w:val="center"/>
          </w:tcPr>
          <w:p>
            <w:pPr>
              <w:jc w:val="left"/>
              <w:rPr>
                <w:b/>
              </w:rPr>
            </w:pPr>
            <w:r>
              <w:rPr>
                <w:b/>
              </w:rPr>
              <w:t>Максимален размер на резерва за изпълнение (максимум 7 %)</w:t>
            </w:r>
          </w:p>
        </w:tc>
        <w:tc>
          <w:tcPr>
            <w:tcW w:w="450" w:type="pct"/>
            <w:shd w:val="clear" w:color="auto" w:fill="C0C0C0"/>
            <w:noWrap w:val="0"/>
            <w:tcMar>
              <w:top w:w="20" w:type="dxa"/>
              <w:bottom w:w="20" w:type="dxa"/>
            </w:tcMar>
            <w:vAlign w:val="center"/>
          </w:tcPr>
          <w:p>
            <w:pPr>
              <w:jc w:val="left"/>
              <w:rPr>
                <w:b w:val="0"/>
              </w:rPr>
            </w:pPr>
            <w:r>
              <w:rPr>
                <w:b/>
              </w:rPr>
              <w:t>Процент на резерва за изпълнение</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450" w:type="pct"/>
            <w:shd w:val="clear" w:color="auto" w:fill="FFFFFF"/>
            <w:noWrap w:val="0"/>
            <w:tcMar>
              <w:top w:w="20" w:type="dxa"/>
              <w:bottom w:w="20" w:type="dxa"/>
            </w:tcMar>
            <w:vAlign w:val="center"/>
          </w:tcPr>
          <w:p>
            <w:pPr>
              <w:jc w:val="right"/>
              <w:rPr>
                <w:b w:val="0"/>
              </w:rPr>
            </w:pPr>
            <w:r>
              <w:rPr>
                <w:b w:val="0"/>
              </w:rPr>
              <w:t>320 706 912,00</w:t>
            </w:r>
          </w:p>
        </w:tc>
        <w:tc>
          <w:tcPr>
            <w:tcW w:w="450" w:type="pct"/>
            <w:shd w:val="clear" w:color="auto" w:fill="FFFFFF"/>
            <w:noWrap w:val="0"/>
            <w:tcMar>
              <w:top w:w="20" w:type="dxa"/>
              <w:bottom w:w="20" w:type="dxa"/>
            </w:tcMar>
            <w:vAlign w:val="center"/>
          </w:tcPr>
          <w:p>
            <w:pPr>
              <w:jc w:val="right"/>
              <w:rPr>
                <w:b w:val="0"/>
              </w:rPr>
            </w:pPr>
            <w:r>
              <w:rPr>
                <w:b w:val="0"/>
              </w:rPr>
              <w:t>297 543 866,77</w:t>
            </w:r>
          </w:p>
        </w:tc>
        <w:tc>
          <w:tcPr>
            <w:tcW w:w="450" w:type="pct"/>
            <w:shd w:val="clear" w:color="auto" w:fill="FFFFFF"/>
            <w:noWrap w:val="0"/>
            <w:tcMar>
              <w:top w:w="20" w:type="dxa"/>
              <w:bottom w:w="20" w:type="dxa"/>
            </w:tcMar>
            <w:vAlign w:val="center"/>
          </w:tcPr>
          <w:p>
            <w:pPr>
              <w:jc w:val="right"/>
              <w:rPr>
                <w:b w:val="0"/>
              </w:rPr>
            </w:pPr>
            <w:r>
              <w:rPr>
                <w:b w:val="0"/>
              </w:rPr>
              <w:t>17 852 632,00</w:t>
            </w:r>
          </w:p>
        </w:tc>
        <w:tc>
          <w:tcPr>
            <w:tcW w:w="450" w:type="pct"/>
            <w:shd w:val="clear" w:color="auto" w:fill="FFFFFF"/>
            <w:noWrap w:val="0"/>
            <w:tcMar>
              <w:top w:w="20" w:type="dxa"/>
              <w:bottom w:w="20" w:type="dxa"/>
            </w:tcMar>
            <w:vAlign w:val="center"/>
          </w:tcPr>
          <w:p>
            <w:pPr>
              <w:jc w:val="right"/>
              <w:rPr>
                <w:b w:val="0"/>
              </w:rPr>
            </w:pPr>
            <w:r>
              <w:rPr>
                <w:b w:val="0"/>
              </w:rPr>
              <w:t>14 877 193,34</w:t>
            </w:r>
          </w:p>
        </w:tc>
        <w:tc>
          <w:tcPr>
            <w:tcW w:w="450" w:type="pct"/>
            <w:shd w:val="clear" w:color="auto" w:fill="FFFFFF"/>
            <w:noWrap w:val="0"/>
            <w:tcMar>
              <w:top w:w="20" w:type="dxa"/>
              <w:bottom w:w="20" w:type="dxa"/>
            </w:tcMar>
            <w:vAlign w:val="center"/>
          </w:tcPr>
          <w:p>
            <w:pPr>
              <w:jc w:val="right"/>
              <w:rPr>
                <w:b w:val="0"/>
              </w:rPr>
            </w:pPr>
            <w:r>
              <w:rPr>
                <w:b w:val="0"/>
              </w:rPr>
              <w:t>20 828 070,67</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450" w:type="pct"/>
            <w:shd w:val="clear" w:color="auto" w:fill="FFFFFF"/>
            <w:noWrap w:val="0"/>
            <w:tcMar>
              <w:top w:w="20" w:type="dxa"/>
              <w:bottom w:w="20" w:type="dxa"/>
            </w:tcMar>
            <w:vAlign w:val="center"/>
          </w:tcPr>
          <w:p>
            <w:pPr>
              <w:jc w:val="right"/>
              <w:rPr>
                <w:b w:val="0"/>
              </w:rPr>
            </w:pPr>
            <w:r>
              <w:rPr>
                <w:b w:val="0"/>
              </w:rPr>
              <w:t>232 856 007,00</w:t>
            </w:r>
          </w:p>
        </w:tc>
        <w:tc>
          <w:tcPr>
            <w:tcW w:w="450" w:type="pct"/>
            <w:shd w:val="clear" w:color="auto" w:fill="FFFFFF"/>
            <w:noWrap w:val="0"/>
            <w:tcMar>
              <w:top w:w="20" w:type="dxa"/>
              <w:bottom w:w="20" w:type="dxa"/>
            </w:tcMar>
            <w:vAlign w:val="center"/>
          </w:tcPr>
          <w:p>
            <w:pPr>
              <w:jc w:val="right"/>
              <w:rPr>
                <w:b w:val="0"/>
              </w:rPr>
            </w:pPr>
            <w:r>
              <w:rPr>
                <w:b w:val="0"/>
              </w:rPr>
              <w:t>236 649 762,44</w:t>
            </w:r>
          </w:p>
        </w:tc>
        <w:tc>
          <w:tcPr>
            <w:tcW w:w="450" w:type="pct"/>
            <w:shd w:val="clear" w:color="auto" w:fill="FFFFFF"/>
            <w:noWrap w:val="0"/>
            <w:tcMar>
              <w:top w:w="20" w:type="dxa"/>
              <w:bottom w:w="20" w:type="dxa"/>
            </w:tcMar>
            <w:vAlign w:val="center"/>
          </w:tcPr>
          <w:p>
            <w:pPr>
              <w:jc w:val="right"/>
              <w:rPr>
                <w:b w:val="0"/>
              </w:rPr>
            </w:pPr>
            <w:r>
              <w:rPr>
                <w:b w:val="0"/>
              </w:rPr>
              <w:t>14 198 986,00</w:t>
            </w:r>
          </w:p>
        </w:tc>
        <w:tc>
          <w:tcPr>
            <w:tcW w:w="450" w:type="pct"/>
            <w:shd w:val="clear" w:color="auto" w:fill="FFFFFF"/>
            <w:noWrap w:val="0"/>
            <w:tcMar>
              <w:top w:w="20" w:type="dxa"/>
              <w:bottom w:w="20" w:type="dxa"/>
            </w:tcMar>
            <w:vAlign w:val="center"/>
          </w:tcPr>
          <w:p>
            <w:pPr>
              <w:jc w:val="right"/>
              <w:rPr>
                <w:b w:val="0"/>
              </w:rPr>
            </w:pPr>
            <w:r>
              <w:rPr>
                <w:b w:val="0"/>
              </w:rPr>
              <w:t>11 832 488,12</w:t>
            </w:r>
          </w:p>
        </w:tc>
        <w:tc>
          <w:tcPr>
            <w:tcW w:w="450" w:type="pct"/>
            <w:shd w:val="clear" w:color="auto" w:fill="FFFFFF"/>
            <w:noWrap w:val="0"/>
            <w:tcMar>
              <w:top w:w="20" w:type="dxa"/>
              <w:bottom w:w="20" w:type="dxa"/>
            </w:tcMar>
            <w:vAlign w:val="center"/>
          </w:tcPr>
          <w:p>
            <w:pPr>
              <w:jc w:val="right"/>
              <w:rPr>
                <w:b w:val="0"/>
              </w:rPr>
            </w:pPr>
            <w:r>
              <w:rPr>
                <w:b w:val="0"/>
              </w:rPr>
              <w:t>16 565 483,37</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450" w:type="pct"/>
            <w:shd w:val="clear" w:color="auto" w:fill="FFFFFF"/>
            <w:noWrap w:val="0"/>
            <w:tcMar>
              <w:top w:w="20" w:type="dxa"/>
              <w:bottom w:w="20" w:type="dxa"/>
            </w:tcMar>
            <w:vAlign w:val="center"/>
          </w:tcPr>
          <w:p>
            <w:pPr>
              <w:jc w:val="right"/>
              <w:rPr>
                <w:b w:val="0"/>
              </w:rPr>
            </w:pPr>
            <w:r>
              <w:rPr>
                <w:b w:val="0"/>
              </w:rPr>
              <w:t>741 499 733,00</w:t>
            </w:r>
          </w:p>
        </w:tc>
        <w:tc>
          <w:tcPr>
            <w:tcW w:w="450" w:type="pct"/>
            <w:shd w:val="clear" w:color="auto" w:fill="FFFFFF"/>
            <w:noWrap w:val="0"/>
            <w:tcMar>
              <w:top w:w="20" w:type="dxa"/>
              <w:bottom w:w="20" w:type="dxa"/>
            </w:tcMar>
            <w:vAlign w:val="center"/>
          </w:tcPr>
          <w:p>
            <w:pPr>
              <w:jc w:val="right"/>
              <w:rPr>
                <w:b w:val="0"/>
              </w:rPr>
            </w:pPr>
            <w:r>
              <w:rPr>
                <w:b w:val="0"/>
              </w:rPr>
              <w:t>753 580 454,81</w:t>
            </w:r>
          </w:p>
        </w:tc>
        <w:tc>
          <w:tcPr>
            <w:tcW w:w="450" w:type="pct"/>
            <w:shd w:val="clear" w:color="auto" w:fill="FFFFFF"/>
            <w:noWrap w:val="0"/>
            <w:tcMar>
              <w:top w:w="20" w:type="dxa"/>
              <w:bottom w:w="20" w:type="dxa"/>
            </w:tcMar>
            <w:vAlign w:val="center"/>
          </w:tcPr>
          <w:p>
            <w:pPr>
              <w:jc w:val="right"/>
              <w:rPr>
                <w:b w:val="0"/>
              </w:rPr>
            </w:pPr>
            <w:r>
              <w:rPr>
                <w:b w:val="0"/>
              </w:rPr>
              <w:t>45 214 827,00</w:t>
            </w:r>
          </w:p>
        </w:tc>
        <w:tc>
          <w:tcPr>
            <w:tcW w:w="450" w:type="pct"/>
            <w:shd w:val="clear" w:color="auto" w:fill="FFFFFF"/>
            <w:noWrap w:val="0"/>
            <w:tcMar>
              <w:top w:w="20" w:type="dxa"/>
              <w:bottom w:w="20" w:type="dxa"/>
            </w:tcMar>
            <w:vAlign w:val="center"/>
          </w:tcPr>
          <w:p>
            <w:pPr>
              <w:jc w:val="right"/>
              <w:rPr>
                <w:b w:val="0"/>
              </w:rPr>
            </w:pPr>
            <w:r>
              <w:rPr>
                <w:b w:val="0"/>
              </w:rPr>
              <w:t>37 679 022,74</w:t>
            </w:r>
          </w:p>
        </w:tc>
        <w:tc>
          <w:tcPr>
            <w:tcW w:w="450" w:type="pct"/>
            <w:shd w:val="clear" w:color="auto" w:fill="FFFFFF"/>
            <w:noWrap w:val="0"/>
            <w:tcMar>
              <w:top w:w="20" w:type="dxa"/>
              <w:bottom w:w="20" w:type="dxa"/>
            </w:tcMar>
            <w:vAlign w:val="center"/>
          </w:tcPr>
          <w:p>
            <w:pPr>
              <w:jc w:val="right"/>
              <w:rPr>
                <w:b w:val="0"/>
              </w:rPr>
            </w:pPr>
            <w:r>
              <w:rPr>
                <w:b w:val="0"/>
              </w:rPr>
              <w:t>52 750 631,84</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450" w:type="pct"/>
            <w:shd w:val="clear" w:color="auto" w:fill="FFFFFF"/>
            <w:noWrap w:val="0"/>
            <w:tcMar>
              <w:top w:w="20" w:type="dxa"/>
              <w:bottom w:w="20" w:type="dxa"/>
            </w:tcMar>
            <w:vAlign w:val="center"/>
          </w:tcPr>
          <w:p>
            <w:pPr>
              <w:jc w:val="right"/>
              <w:rPr>
                <w:b w:val="0"/>
              </w:rPr>
            </w:pPr>
            <w:r>
              <w:rPr>
                <w:b w:val="0"/>
              </w:rPr>
              <w:t>334 704 712,00</w:t>
            </w:r>
          </w:p>
        </w:tc>
        <w:tc>
          <w:tcPr>
            <w:tcW w:w="450" w:type="pct"/>
            <w:shd w:val="clear" w:color="auto" w:fill="FFFFFF"/>
            <w:noWrap w:val="0"/>
            <w:tcMar>
              <w:top w:w="20" w:type="dxa"/>
              <w:bottom w:w="20" w:type="dxa"/>
            </w:tcMar>
            <w:vAlign w:val="center"/>
          </w:tcPr>
          <w:p>
            <w:pPr>
              <w:jc w:val="right"/>
              <w:rPr>
                <w:b w:val="0"/>
              </w:rPr>
            </w:pPr>
            <w:r>
              <w:rPr>
                <w:b w:val="0"/>
              </w:rPr>
              <w:t>340 157 815,13</w:t>
            </w:r>
          </w:p>
        </w:tc>
        <w:tc>
          <w:tcPr>
            <w:tcW w:w="450" w:type="pct"/>
            <w:shd w:val="clear" w:color="auto" w:fill="FFFFFF"/>
            <w:noWrap w:val="0"/>
            <w:tcMar>
              <w:top w:w="20" w:type="dxa"/>
              <w:bottom w:w="20" w:type="dxa"/>
            </w:tcMar>
            <w:vAlign w:val="center"/>
          </w:tcPr>
          <w:p>
            <w:pPr>
              <w:jc w:val="right"/>
              <w:rPr>
                <w:b w:val="0"/>
              </w:rPr>
            </w:pPr>
            <w:r>
              <w:rPr>
                <w:b w:val="0"/>
              </w:rPr>
              <w:t>20 409 469,00</w:t>
            </w:r>
          </w:p>
        </w:tc>
        <w:tc>
          <w:tcPr>
            <w:tcW w:w="450" w:type="pct"/>
            <w:shd w:val="clear" w:color="auto" w:fill="FFFFFF"/>
            <w:noWrap w:val="0"/>
            <w:tcMar>
              <w:top w:w="20" w:type="dxa"/>
              <w:bottom w:w="20" w:type="dxa"/>
            </w:tcMar>
            <w:vAlign w:val="center"/>
          </w:tcPr>
          <w:p>
            <w:pPr>
              <w:jc w:val="right"/>
              <w:rPr>
                <w:b w:val="0"/>
              </w:rPr>
            </w:pPr>
            <w:r>
              <w:rPr>
                <w:b w:val="0"/>
              </w:rPr>
              <w:t>17 007 890,76</w:t>
            </w:r>
          </w:p>
        </w:tc>
        <w:tc>
          <w:tcPr>
            <w:tcW w:w="450" w:type="pct"/>
            <w:shd w:val="clear" w:color="auto" w:fill="FFFFFF"/>
            <w:noWrap w:val="0"/>
            <w:tcMar>
              <w:top w:w="20" w:type="dxa"/>
              <w:bottom w:w="20" w:type="dxa"/>
            </w:tcMar>
            <w:vAlign w:val="center"/>
          </w:tcPr>
          <w:p>
            <w:pPr>
              <w:jc w:val="right"/>
              <w:rPr>
                <w:b w:val="0"/>
              </w:rPr>
            </w:pPr>
            <w:r>
              <w:rPr>
                <w:b w:val="0"/>
              </w:rPr>
              <w:t>23 811 047,06</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450" w:type="pct"/>
            <w:shd w:val="clear" w:color="auto" w:fill="FFFFFF"/>
            <w:noWrap w:val="0"/>
            <w:tcMar>
              <w:top w:w="20" w:type="dxa"/>
              <w:bottom w:w="20" w:type="dxa"/>
            </w:tcMar>
            <w:vAlign w:val="center"/>
          </w:tcPr>
          <w:p>
            <w:pPr>
              <w:jc w:val="right"/>
              <w:rPr>
                <w:b w:val="0"/>
              </w:rPr>
            </w:pPr>
            <w:r>
              <w:rPr>
                <w:b w:val="0"/>
              </w:rPr>
              <w:t>699 456 328,00</w:t>
            </w:r>
          </w:p>
        </w:tc>
        <w:tc>
          <w:tcPr>
            <w:tcW w:w="450" w:type="pct"/>
            <w:shd w:val="clear" w:color="auto" w:fill="FFFFFF"/>
            <w:noWrap w:val="0"/>
            <w:tcMar>
              <w:top w:w="20" w:type="dxa"/>
              <w:bottom w:w="20" w:type="dxa"/>
            </w:tcMar>
            <w:vAlign w:val="center"/>
          </w:tcPr>
          <w:p>
            <w:pPr>
              <w:jc w:val="right"/>
              <w:rPr>
                <w:b w:val="0"/>
              </w:rPr>
            </w:pPr>
            <w:r>
              <w:rPr>
                <w:b w:val="0"/>
              </w:rPr>
              <w:t>710 852 066,86</w:t>
            </w:r>
          </w:p>
        </w:tc>
        <w:tc>
          <w:tcPr>
            <w:tcW w:w="450" w:type="pct"/>
            <w:shd w:val="clear" w:color="auto" w:fill="FFFFFF"/>
            <w:noWrap w:val="0"/>
            <w:tcMar>
              <w:top w:w="20" w:type="dxa"/>
              <w:bottom w:w="20" w:type="dxa"/>
            </w:tcMar>
            <w:vAlign w:val="center"/>
          </w:tcPr>
          <w:p>
            <w:pPr>
              <w:jc w:val="right"/>
              <w:rPr>
                <w:b w:val="0"/>
              </w:rPr>
            </w:pPr>
            <w:r>
              <w:rPr>
                <w:b w:val="0"/>
              </w:rPr>
              <w:t>42 651 124,00</w:t>
            </w:r>
          </w:p>
        </w:tc>
        <w:tc>
          <w:tcPr>
            <w:tcW w:w="450" w:type="pct"/>
            <w:shd w:val="clear" w:color="auto" w:fill="FFFFFF"/>
            <w:noWrap w:val="0"/>
            <w:tcMar>
              <w:top w:w="20" w:type="dxa"/>
              <w:bottom w:w="20" w:type="dxa"/>
            </w:tcMar>
            <w:vAlign w:val="center"/>
          </w:tcPr>
          <w:p>
            <w:pPr>
              <w:jc w:val="right"/>
              <w:rPr>
                <w:b w:val="0"/>
              </w:rPr>
            </w:pPr>
            <w:r>
              <w:rPr>
                <w:b w:val="0"/>
              </w:rPr>
              <w:t>35 542 603,34</w:t>
            </w:r>
          </w:p>
        </w:tc>
        <w:tc>
          <w:tcPr>
            <w:tcW w:w="450" w:type="pct"/>
            <w:shd w:val="clear" w:color="auto" w:fill="FFFFFF"/>
            <w:noWrap w:val="0"/>
            <w:tcMar>
              <w:top w:w="20" w:type="dxa"/>
              <w:bottom w:w="20" w:type="dxa"/>
            </w:tcMar>
            <w:vAlign w:val="center"/>
          </w:tcPr>
          <w:p>
            <w:pPr>
              <w:jc w:val="right"/>
              <w:rPr>
                <w:b w:val="0"/>
              </w:rPr>
            </w:pPr>
            <w:r>
              <w:rPr>
                <w:b w:val="0"/>
              </w:rPr>
              <w:t>49 759 644,68</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C0C0C0"/>
            <w:noWrap w:val="0"/>
            <w:tcMar>
              <w:top w:w="20" w:type="dxa"/>
              <w:bottom w:w="20" w:type="dxa"/>
            </w:tcMar>
            <w:vAlign w:val="center"/>
          </w:tcPr>
          <w:p>
            <w:pPr>
              <w:jc w:val="center"/>
              <w:rPr>
                <w:b/>
              </w:rPr>
            </w:pPr>
            <w:r>
              <w:rPr>
                <w:b/>
              </w:rPr>
              <w:t>Общо</w:t>
            </w:r>
          </w:p>
        </w:tc>
        <w:tc>
          <w:tcPr>
            <w:tcW w:w="450" w:type="pct"/>
            <w:shd w:val="clear" w:color="auto" w:fill="C0C0C0"/>
            <w:noWrap w:val="0"/>
            <w:tcMar>
              <w:top w:w="20" w:type="dxa"/>
              <w:bottom w:w="20" w:type="dxa"/>
            </w:tcMar>
            <w:vAlign w:val="center"/>
          </w:tcPr>
          <w:p>
            <w:pPr>
              <w:jc w:val="right"/>
              <w:rPr>
                <w:b/>
              </w:rPr>
            </w:pPr>
            <w:r>
              <w:rPr>
                <w:b/>
              </w:rPr>
              <w:t>2 329 223 692,00</w:t>
            </w:r>
          </w:p>
        </w:tc>
        <w:tc>
          <w:tcPr>
            <w:tcW w:w="450" w:type="pct"/>
            <w:shd w:val="clear" w:color="auto" w:fill="C0C0C0"/>
            <w:noWrap w:val="0"/>
            <w:tcMar>
              <w:top w:w="20" w:type="dxa"/>
              <w:bottom w:w="20" w:type="dxa"/>
            </w:tcMar>
            <w:vAlign w:val="center"/>
          </w:tcPr>
          <w:p>
            <w:pPr>
              <w:jc w:val="right"/>
              <w:rPr>
                <w:b/>
              </w:rPr>
            </w:pPr>
            <w:r>
              <w:rPr>
                <w:b/>
              </w:rPr>
              <w:t>2 338 783 966,00</w:t>
            </w:r>
          </w:p>
        </w:tc>
        <w:tc>
          <w:tcPr>
            <w:tcW w:w="450" w:type="pct"/>
            <w:shd w:val="clear" w:color="auto" w:fill="C0C0C0"/>
            <w:noWrap w:val="0"/>
            <w:tcMar>
              <w:top w:w="20" w:type="dxa"/>
              <w:bottom w:w="20" w:type="dxa"/>
            </w:tcMar>
            <w:vAlign w:val="center"/>
          </w:tcPr>
          <w:p>
            <w:pPr>
              <w:jc w:val="right"/>
              <w:rPr>
                <w:b/>
              </w:rPr>
            </w:pPr>
            <w:r>
              <w:rPr>
                <w:b/>
              </w:rPr>
              <w:t>140 327 038,00</w:t>
            </w:r>
          </w:p>
        </w:tc>
        <w:tc>
          <w:tcPr>
            <w:tcW w:w="450" w:type="pct"/>
            <w:shd w:val="clear" w:color="auto" w:fill="C0C0C0"/>
            <w:noWrap w:val="0"/>
            <w:tcMar>
              <w:top w:w="20" w:type="dxa"/>
              <w:bottom w:w="20" w:type="dxa"/>
            </w:tcMar>
            <w:vAlign w:val="center"/>
          </w:tcPr>
          <w:p>
            <w:pPr>
              <w:jc w:val="right"/>
              <w:rPr>
                <w:b/>
              </w:rPr>
            </w:pPr>
            <w:r>
              <w:rPr>
                <w:b/>
              </w:rPr>
              <w:t>116 939 198,30</w:t>
            </w:r>
          </w:p>
        </w:tc>
        <w:tc>
          <w:tcPr>
            <w:tcW w:w="450" w:type="pct"/>
            <w:shd w:val="clear" w:color="auto" w:fill="C0C0C0"/>
            <w:noWrap w:val="0"/>
            <w:tcMar>
              <w:top w:w="20" w:type="dxa"/>
              <w:bottom w:w="20" w:type="dxa"/>
            </w:tcMar>
            <w:vAlign w:val="center"/>
          </w:tcPr>
          <w:p>
            <w:pPr>
              <w:jc w:val="right"/>
              <w:rPr>
                <w:b/>
              </w:rPr>
            </w:pPr>
            <w:r>
              <w:rPr>
                <w:b/>
              </w:rPr>
              <w:t>163 714 877,62</w:t>
            </w:r>
          </w:p>
        </w:tc>
        <w:tc>
          <w:tcPr>
            <w:tcW w:w="450" w:type="pct"/>
            <w:shd w:val="clear" w:color="auto" w:fill="C0C0C0"/>
            <w:noWrap w:val="0"/>
            <w:tcMar>
              <w:top w:w="20" w:type="dxa"/>
              <w:bottom w:w="20" w:type="dxa"/>
            </w:tcMar>
            <w:vAlign w:val="center"/>
          </w:tcPr>
          <w:p>
            <w:pPr>
              <w:jc w:val="right"/>
              <w:rPr>
                <w:b/>
              </w:rPr>
            </w:pPr>
            <w:r>
              <w:rPr>
                <w:b/>
              </w:rPr>
              <w:t>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Механизмът на гаранционната схема по ПРСР 2007 – 2013 ще бъде прилаган за проекти по под мерки 4.1 и 4.2, включително в рамките на Тематичната подпрограма. Финансовият ресурс за издаване на гаранции  по под мерки 4.1 и 4.2 ще бъде осигурен от освободени гаранции по проекти по мерки 121 и 123. Гаранционната схема ще позволи по пълно постигане на целите на ПРСР и ще облекчи достъпа до кредитен ресурс. Предоставяните гаранции ще се използват за допълване на обезпечението при предоставянето на инвестиционни кредити.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Нов финансов инструмент ще бъде разработен за нуждите на Програмата включително за кандидати в рамките на Тематичната подпрограма,, като за целта през 2015 г. ще се извърши предварителна оценка за потребностите от неговото създаване и обхват на прилагане. Планира се реалното стартиране на бъдещия финансов инструмент да се осъществи в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Спазване на правилата за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свързани с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4 „Инвестиции във физически активи“;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15. „Екологични услуги и услуги във връзка с климата в горското стопанство и опазване на горите“;</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1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 за инвестиционна подкрепа</w:t>
            </w:r>
          </w:p>
          <w:p>
            <w:pPr>
              <w:numPr>
                <w:ilvl w:val="0"/>
                <w:numId w:val="12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1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1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01.01.2014</w:t>
            </w:r>
          </w:p>
          <w:p>
            <w:pPr>
              <w:numPr>
                <w:ilvl w:val="0"/>
                <w:numId w:val="1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1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мярка 15.1 „Плащания за горски екологични ангажименти“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 разходи ще се прилагат по мярка 1</w:t>
            </w:r>
            <w:r>
              <w:rPr>
                <w:rStyle w:val="DefaultParagraphFont"/>
                <w:rFonts w:ascii="Times New Roman" w:eastAsia="Times New Roman" w:hAnsi="Times New Roman" w:cs="Times New Roman"/>
                <w:i/>
                <w:iCs/>
                <w:szCs w:val="24"/>
              </w:rPr>
              <w:t>„Трансфер на знания и действия по осведомяване“</w:t>
            </w:r>
            <w:r>
              <w:rPr>
                <w:rStyle w:val="DefaultParagraphFont"/>
                <w:rFonts w:ascii="Times New Roman" w:eastAsia="Times New Roman" w:hAnsi="Times New Roman" w:cs="Times New Roman"/>
                <w:szCs w:val="24"/>
              </w:rPr>
              <w:t>, по мярка 2 „</w:t>
            </w:r>
            <w:r>
              <w:rPr>
                <w:rStyle w:val="DefaultParagraphFont"/>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Style w:val="DefaultParagraphFont"/>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Териториално покритие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Инвестиции в инфраструктура                                                                                      2016-2020                                                                                                          5A, 5B, 5C, 5D</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подобрение и разширяване.                                                                                               2016-2020                                                                                                                    6C</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12.2. Компенсаторни плащания за гори в Натура 2000                                               2016-2020                                                                                                                   4(FO)</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12.3. Компенсаторни плащания за селскостопански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включени в плановете за управление на речните басейни                                        2016-2020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13.3. Компенсационни плащания за други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засегнати от специфични ограничения.                                                                           2017-2020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15.1. Плащания за задължения за опазване на околната среда в горите            2016-2020                                                                                                                      4(FO)</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М17 — Управление на риска                                                                                                2017-2020                                                                                                                     3B</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Професионално обучение и придобиване на умения;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Style w:val="DefaultParagraphFont"/>
                <w:rFonts w:ascii="Times New Roman" w:eastAsia="Times New Roman" w:hAnsi="Times New Roman" w:cs="Times New Roman"/>
                <w:b/>
                <w:bCs/>
                <w:i/>
                <w:iCs/>
                <w:szCs w:val="24"/>
              </w:rPr>
              <w:t xml:space="preserve">.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допринася основно към реализирането на </w:t>
            </w:r>
            <w:r>
              <w:rPr>
                <w:rStyle w:val="DefaultParagraphFont"/>
                <w:rFonts w:ascii="Times New Roman" w:eastAsia="Times New Roman" w:hAnsi="Times New Roman" w:cs="Times New Roman"/>
                <w:b/>
                <w:bCs/>
                <w:szCs w:val="24"/>
              </w:rPr>
              <w:t>приоритетни области 1А, 1Б и1В.</w:t>
            </w:r>
            <w:r>
              <w:rPr>
                <w:rStyle w:val="DefaultParagraphFont"/>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Style w:val="DefaultParagraphFont"/>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2А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Style w:val="DefaultParagraphFont"/>
                <w:rFonts w:ascii="Times New Roman" w:eastAsia="Times New Roman" w:hAnsi="Times New Roman" w:cs="Times New Roman"/>
                <w:b/>
                <w:bCs/>
                <w:szCs w:val="24"/>
              </w:rPr>
              <w:t xml:space="preserve">подмярка 1.2. </w:t>
            </w:r>
            <w:r>
              <w:rPr>
                <w:rStyle w:val="DefaultParagraphFont"/>
                <w:rFonts w:ascii="Times New Roman" w:eastAsia="Times New Roman" w:hAnsi="Times New Roman" w:cs="Times New Roman"/>
                <w:szCs w:val="24"/>
              </w:rPr>
              <w:t xml:space="preserve">с демонстрационни дейности </w:t>
            </w:r>
            <w:r>
              <w:rPr>
                <w:rStyle w:val="DefaultParagraphFont"/>
                <w:rFonts w:ascii="Times New Roman" w:eastAsia="Times New Roman" w:hAnsi="Times New Roman" w:cs="Times New Roman"/>
                <w:i/>
                <w:iCs/>
                <w:szCs w:val="24"/>
              </w:rPr>
              <w:t>с приоритет на темите за въвеждане на иновации в производствените практики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2Б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3А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за обучение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3Б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основни рискове в земеделието, методите за превенция</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и за управление на риска;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4А</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обмяна на опит при биологичното земеделие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4Б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Style w:val="DefaultParagraphFont"/>
                <w:rFonts w:ascii="Times New Roman" w:eastAsia="Times New Roman" w:hAnsi="Times New Roman" w:cs="Times New Roman"/>
                <w:szCs w:val="24"/>
              </w:rPr>
              <w:t xml:space="preserve">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 представяне 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4В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с продължителност 30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фактори на почвената ерозия и методи за предотвратяване;</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5А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Style w:val="DefaultParagraphFont"/>
                <w:rFonts w:ascii="Times New Roman" w:eastAsia="Times New Roman" w:hAnsi="Times New Roman" w:cs="Times New Roman"/>
                <w:szCs w:val="24"/>
              </w:rPr>
              <w:t xml:space="preserve">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 5Б</w:t>
            </w:r>
            <w:r>
              <w:rPr>
                <w:rStyle w:val="DefaultParagraphFont"/>
                <w:rFonts w:ascii="Times New Roman" w:eastAsia="Times New Roman" w:hAnsi="Times New Roman" w:cs="Times New Roman"/>
                <w:szCs w:val="24"/>
              </w:rPr>
              <w:t xml:space="preserve"> -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5В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5Г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семинари с продължителност 8 или 18 часа и чрез </w:t>
            </w:r>
            <w:r>
              <w:rPr>
                <w:rStyle w:val="DefaultParagraphFont"/>
                <w:rFonts w:ascii="Times New Roman" w:eastAsia="Times New Roman" w:hAnsi="Times New Roman" w:cs="Times New Roman"/>
                <w:b/>
                <w:bCs/>
                <w:szCs w:val="24"/>
              </w:rPr>
              <w:t>подмярка 1.2.</w:t>
            </w:r>
            <w:r>
              <w:rPr>
                <w:rStyle w:val="DefaultParagraphFont"/>
                <w:rFonts w:ascii="Times New Roman" w:eastAsia="Times New Roman" w:hAnsi="Times New Roman" w:cs="Times New Roman"/>
                <w:szCs w:val="24"/>
              </w:rPr>
              <w:t xml:space="preserve"> – с демонстрационни дейности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1.3.</w:t>
            </w:r>
            <w:r>
              <w:rPr>
                <w:rStyle w:val="DefaultParagraphFont"/>
                <w:rFonts w:ascii="Times New Roman" w:eastAsia="Times New Roman" w:hAnsi="Times New Roman" w:cs="Times New Roman"/>
                <w:szCs w:val="24"/>
              </w:rPr>
              <w:t xml:space="preserve"> с дейности посещения на стопанства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 5Д </w:t>
            </w:r>
            <w:r>
              <w:rPr>
                <w:rStyle w:val="DefaultParagraphFont"/>
                <w:rFonts w:ascii="Times New Roman" w:eastAsia="Times New Roman" w:hAnsi="Times New Roman" w:cs="Times New Roman"/>
                <w:szCs w:val="24"/>
              </w:rPr>
              <w:t xml:space="preserve">– чрез </w:t>
            </w:r>
            <w:r>
              <w:rPr>
                <w:rStyle w:val="DefaultParagraphFont"/>
                <w:rFonts w:ascii="Times New Roman" w:eastAsia="Times New Roman" w:hAnsi="Times New Roman" w:cs="Times New Roman"/>
                <w:b/>
                <w:bCs/>
                <w:szCs w:val="24"/>
              </w:rPr>
              <w:t>подмярка 1.1.</w:t>
            </w:r>
            <w:r>
              <w:rPr>
                <w:rStyle w:val="DefaultParagraphFont"/>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Style w:val="DefaultParagraphFont"/>
                <w:rFonts w:ascii="Times New Roman" w:eastAsia="Times New Roman" w:hAnsi="Times New Roman" w:cs="Times New Roman"/>
                <w:b/>
                <w:bCs/>
                <w:szCs w:val="24"/>
              </w:rPr>
              <w:t>подмярка 1.2. и подмярка 1.3</w:t>
            </w:r>
            <w:r>
              <w:rPr>
                <w:rStyle w:val="DefaultParagraphFont"/>
                <w:rFonts w:ascii="Times New Roman" w:eastAsia="Times New Roman" w:hAnsi="Times New Roman" w:cs="Times New Roman"/>
                <w:szCs w:val="24"/>
              </w:rPr>
              <w:t xml:space="preserve"> с демонстрационни дейности или обмяна на опит </w:t>
            </w:r>
            <w:r>
              <w:rPr>
                <w:rStyle w:val="DefaultParagraphFont"/>
                <w:rFonts w:ascii="Times New Roman" w:eastAsia="Times New Roman" w:hAnsi="Times New Roman" w:cs="Times New Roman"/>
                <w:i/>
                <w:iCs/>
                <w:szCs w:val="24"/>
              </w:rPr>
              <w:t>с приоритет на темите свързани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Целта на мярката </w:t>
            </w:r>
            <w:r>
              <w:rPr>
                <w:rStyle w:val="DefaultParagraphFont"/>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В курсовете по 2А се предоставя приоритет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3"/>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Курсовете за обучение </w:t>
            </w:r>
            <w:r>
              <w:rPr>
                <w:rStyle w:val="DefaultParagraphFont"/>
                <w:rFonts w:ascii="Times New Roman" w:eastAsia="Times New Roman" w:hAnsi="Times New Roman" w:cs="Times New Roman"/>
                <w:szCs w:val="24"/>
              </w:rPr>
              <w:t>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 Учебната програма на курсовете се разработва от обучаваща организация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 В учебната програма на курсовете се предвижда задължително практическо обучение. 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 В учебните програми на курсовете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Семинарите </w:t>
            </w:r>
            <w:r>
              <w:rPr>
                <w:rStyle w:val="DefaultParagraphFont"/>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се прилага система на ваучери. Ваучерите ще бъдат прилагани за всяка допустима дейност по подмярка 1.1.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150 часа - 1 987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100 часа - 1 385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курс 30 часа - 583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семинар 8 часа -  280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семинар 18 часа - 386 евро за един обучаем.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по част от професия да имат съответстващи акредитирани специалности;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имат валидно разрешително от Министъра на земеделието и храните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1.1. са изчислени по методика, при която е  допуснато, че ще има пет вида курсове и информационни дейности (с продължителност 8 учебни часа, 18 учебни часа, 30 учебни часа, 100 учебни часа и 150 учебни часа - със събиране на участниците в обучението през предходния ден) и е определен стандартен разход за един участник  в съответния вид обучение. В методиката са приложени следните конкретни стъпки за изчисляване на разходите: определяне по видове обучения на средния брой обучаеми, средния брой учебни часове, средния брой нощувки и пансиони на един обучаем/лектор, средно разстояние очаквано за изминаване от един обучаем/лектор, средния брой на лекторите и членовете на екипа за организиране на съответното обучение и средни км за транспортни услуги (организиран превоз) до базите за практика; описание на дейностите по обучението, вкл. подготвителните дейности, дейностите по провеждане на обучението и дейностите по приключване и отчитане на обучението,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5"/>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Демонстрационните дейности </w:t>
            </w:r>
            <w:r>
              <w:rPr>
                <w:rStyle w:val="DefaultParagraphFont"/>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демонстрационна дейност по подмярка 1.2.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 Разходите за инвестиции ще бъдат допустими за проекти за демонстрационни дейности при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инвестиции.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Style w:val="DefaultParagraphFont"/>
                <w:rFonts w:ascii="Times New Roman" w:eastAsia="Times New Roman" w:hAnsi="Times New Roman" w:cs="Times New Roman"/>
                <w:i/>
                <w:iCs/>
                <w:szCs w:val="24"/>
              </w:rPr>
              <w:t>Растениевъдство и животновъдство</w:t>
            </w:r>
            <w:r>
              <w:rPr>
                <w:rStyle w:val="DefaultParagraphFont"/>
                <w:rFonts w:ascii="Times New Roman" w:eastAsia="Times New Roman" w:hAnsi="Times New Roman" w:cs="Times New Roman"/>
                <w:szCs w:val="24"/>
              </w:rPr>
              <w:t>“, 623 „</w:t>
            </w:r>
            <w:r>
              <w:rPr>
                <w:rStyle w:val="DefaultParagraphFont"/>
                <w:rFonts w:ascii="Times New Roman" w:eastAsia="Times New Roman" w:hAnsi="Times New Roman" w:cs="Times New Roman"/>
                <w:i/>
                <w:iCs/>
                <w:szCs w:val="24"/>
              </w:rPr>
              <w:t>Горско стопанство</w:t>
            </w:r>
            <w:r>
              <w:rPr>
                <w:rStyle w:val="DefaultParagraphFont"/>
                <w:rFonts w:ascii="Times New Roman" w:eastAsia="Times New Roman" w:hAnsi="Times New Roman" w:cs="Times New Roman"/>
                <w:szCs w:val="24"/>
              </w:rPr>
              <w:t>”, 541 „</w:t>
            </w:r>
            <w:r>
              <w:rPr>
                <w:rStyle w:val="DefaultParagraphFont"/>
                <w:rFonts w:ascii="Times New Roman" w:eastAsia="Times New Roman" w:hAnsi="Times New Roman" w:cs="Times New Roman"/>
                <w:i/>
                <w:iCs/>
                <w:szCs w:val="24"/>
              </w:rPr>
              <w:t>Хранителни технологии</w:t>
            </w:r>
            <w:r>
              <w:rPr>
                <w:rStyle w:val="DefaultParagraphFont"/>
                <w:rFonts w:ascii="Times New Roman" w:eastAsia="Times New Roman" w:hAnsi="Times New Roman" w:cs="Times New Roman"/>
                <w:szCs w:val="24"/>
              </w:rPr>
              <w:t>“, 640 „</w:t>
            </w:r>
            <w:r>
              <w:rPr>
                <w:rStyle w:val="DefaultParagraphFont"/>
                <w:rFonts w:ascii="Times New Roman" w:eastAsia="Times New Roman" w:hAnsi="Times New Roman" w:cs="Times New Roman"/>
                <w:i/>
                <w:iCs/>
                <w:szCs w:val="24"/>
              </w:rPr>
              <w:t>Ветеринарна медицина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2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1.3. Краткосрочен обмен на опит и посещения в земеделски и горски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7"/>
              </w:numPr>
              <w:rPr>
                <w:b w:val="0"/>
              </w:rPr>
            </w:pPr>
            <w:r>
              <w:rPr>
                <w:b w:val="0"/>
              </w:rPr>
              <w:t>1.3 — подкрепата може да обхваща и краткосрочен обмен на опит в управлението на земеделски и горски стопанства, както и посещения на земеделски и горски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1А; 1Б; 1В; 4А; 5А; 5Б; 5В;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организирането и провеждането на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Схемите за краткосрочен обмен на опит и посещения на земеделски и горски стопанства </w:t>
            </w:r>
            <w:r>
              <w:rPr>
                <w:rStyle w:val="DefaultParagraphFont"/>
                <w:rFonts w:ascii="Times New Roman" w:eastAsia="Times New Roman" w:hAnsi="Times New Roman" w:cs="Times New Roman"/>
                <w:szCs w:val="24"/>
              </w:rPr>
              <w:t>са дейности по организиране на групи от земеделски стопани или собственици на гори и провеждане на посещения на земеделски или горски стопанства с цел запознаване с конкретен проблем или начин на изпълнение на дадена работа или организация на работата и обмяна на опит между участниците.  Ще се дава приоритет  на посещения на стопанства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Посещенията на стопанства трябва да са насочени към методите и/или технологиите за устойчиво селско и горско стопанство, диверсификацията на стопанствата, участието на стопанствата в къси вериги на доставки, разработването на нови възможности за стопанска дейност и на нови технологии, както и повишаването на устойчивостта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дейностите може да се извършва по следните начини: В стопанство, избрано за нуждите на обмяната на опит се извършва демонстриране на практиките и обектите, които са предмет на обмяната на опит, от представител на обучаващата организация или представянето се извършва от собственика или управителя на стопанството.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посещение на стопанство по подмярка 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организациите, които предоставят трансфер на знания чрез посещения на земеделски и горски стопанства. Организациите трябва да извършват научно-изследователска дейност или да извършват образователна или обучителна дейност в областта на селското стопанство или горското стопанство или биотехнологиите или хранителните технологии или да извършват дейности в неправителствения сектор в областта на селското или горското стопанство или околната среда или водите.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257 евро за един обучаем.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w:t>
            </w:r>
            <w:r>
              <w:rPr>
                <w:rStyle w:val="DefaultParagraphFont"/>
                <w:rFonts w:ascii="Times New Roman" w:eastAsia="Times New Roman" w:hAnsi="Times New Roman" w:cs="Times New Roman"/>
                <w:i/>
                <w:iCs/>
                <w:szCs w:val="24"/>
              </w:rPr>
              <w:t>Растениевъдство и животновъдство</w:t>
            </w:r>
            <w:r>
              <w:rPr>
                <w:rStyle w:val="DefaultParagraphFont"/>
                <w:rFonts w:ascii="Times New Roman" w:eastAsia="Times New Roman" w:hAnsi="Times New Roman" w:cs="Times New Roman"/>
                <w:szCs w:val="24"/>
              </w:rPr>
              <w:t>“, 623 „</w:t>
            </w:r>
            <w:r>
              <w:rPr>
                <w:rStyle w:val="DefaultParagraphFont"/>
                <w:rFonts w:ascii="Times New Roman" w:eastAsia="Times New Roman" w:hAnsi="Times New Roman" w:cs="Times New Roman"/>
                <w:i/>
                <w:iCs/>
                <w:szCs w:val="24"/>
              </w:rPr>
              <w:t>Горско стопанство</w:t>
            </w:r>
            <w:r>
              <w:rPr>
                <w:rStyle w:val="DefaultParagraphFont"/>
                <w:rFonts w:ascii="Times New Roman" w:eastAsia="Times New Roman" w:hAnsi="Times New Roman" w:cs="Times New Roman"/>
                <w:szCs w:val="24"/>
              </w:rPr>
              <w:t>”, 541 „</w:t>
            </w:r>
            <w:r>
              <w:rPr>
                <w:rStyle w:val="DefaultParagraphFont"/>
                <w:rFonts w:ascii="Times New Roman" w:eastAsia="Times New Roman" w:hAnsi="Times New Roman" w:cs="Times New Roman"/>
                <w:i/>
                <w:iCs/>
                <w:szCs w:val="24"/>
              </w:rPr>
              <w:t>Хранителни технологии</w:t>
            </w:r>
            <w:r>
              <w:rPr>
                <w:rStyle w:val="DefaultParagraphFont"/>
                <w:rFonts w:ascii="Times New Roman" w:eastAsia="Times New Roman" w:hAnsi="Times New Roman" w:cs="Times New Roman"/>
                <w:szCs w:val="24"/>
              </w:rPr>
              <w:t>“, 640 „</w:t>
            </w:r>
            <w:r>
              <w:rPr>
                <w:rStyle w:val="DefaultParagraphFont"/>
                <w:rFonts w:ascii="Times New Roman" w:eastAsia="Times New Roman" w:hAnsi="Times New Roman" w:cs="Times New Roman"/>
                <w:i/>
                <w:iCs/>
                <w:szCs w:val="24"/>
              </w:rPr>
              <w:t>Ветеринарна медицина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околната среда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неправителствена или браншова организация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дейност ще се извършват следните оценки, с тежест на критериите по низходящ ред: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опита на организацията в изпълнение на подобни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условията за провеждане на посещенията на стопанства и обмяна на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проекти с повече от една дейност посещение на стопанства се оценява учебната програма на всяка дейност и оценката се оформя като средна от получените оценки. Ще се определи минимален брой точки за класиране на проектите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Административният контрол ще включва проверки за съответствие на заявените с  допустимите стандартни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1.3. са изчислени по методика, при която е  допуснато, че ще има само един вид посещение на стопанство/стопанства  -еднодневно посещение със събиране на участниците в посещението през предходния ден и е определен стандартен разход за един участник  в посещение. В методиката са приложени следните конкретни стъпки за изчисляване на разходите: определяне на среден брой участници в посещение, среден брой на членовете на екипа за организиране на посещение и средни км за транспортни услуги (организиран превоз) до стопанството за посещение; описание на дейностите по посещението, вкл. подготвителните дейности, дейностите по провеждане на посещението и дейностите по приключване и отчитане на посещението, както и на включените разходи по дейности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е регистрирана по Закона за юридическите лица с нестопанска цел с предмет на дейност в областите, посочени в подмярката.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и храните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 на системата на ваучери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системата на ваучери ще се изпълняват следните условия:</w:t>
            </w:r>
          </w:p>
          <w:p>
            <w:pPr>
              <w:numPr>
                <w:ilvl w:val="0"/>
                <w:numId w:val="12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Периодът на валидност на ваучерите е една година.</w:t>
            </w:r>
          </w:p>
          <w:p>
            <w:pPr>
              <w:numPr>
                <w:ilvl w:val="0"/>
                <w:numId w:val="1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Ваучерите са за всеки вид обучение както следва: за курс с продължителност 30 часа, за курс с продължителност 150 часа, за специализиран курс с продължителност 100 часа, за семинар с продължителност 8 часа, за семинар с продължителност 18 часа; за демонстрационни дейности; за посещение на земеделско или горско стопанство. Ваучерите се предоставят на земеделски стопани и заети лица в техните стопанства, на горски стопани и заети лица в техните стопанства. Ваучерите се предоставят на земеделските и горските стопани или на заетите в техните стопанства в период до 3 месеца след публикуване на одобрените проекти по дадена обява. Подготовката и издаването на ваучерите се извършва от МЗХ, като средствата се осигуряват по техническата помощ на програмата. Проверката за допустимост на обучаемите и предоставянето на ваучери се извършва от Областните дирекции „Земеделие“ и общинските служби земеделие към МЗХ.</w:t>
            </w:r>
          </w:p>
          <w:p>
            <w:pPr>
              <w:numPr>
                <w:ilvl w:val="0"/>
                <w:numId w:val="12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Специфичните условия за възстановяването на разходите на обучаващите организации са следните: На базата на планиран брой обучаеми по видове дейности и съответните стойности на ваучерите по тези дейности, всяка обучаващата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обучаващата организация представя заявка за плащане, като прилага като разходооправдателни документи получените ваучери от реално обучените участници. Допустими са междинни плащания след приключване на всяка от одобрените дейности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Помощ за осигуряване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Създаване на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Подпомагане за обучение на консултанти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участие в мярка 9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горните три елемента пакета 6 може да включа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едно посещение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9"/>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А2А - Консултантски пакет по приоритетна област 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А2Б - Консултантски пакет по приоритетна област 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А3А - Консултантски пакет по приоритетна област 3А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А3Б - Консултантски пакет по приоритетна област 3Б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А4А - Консултантски пакет по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А4Б - Консултантски пакет по приоритетна област 4Б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А4В - Консултантски пакет по приоритетна област 4В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А5А - Консултантски пакет по приоритетна област 5А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А5Г - Консултантски пакет по приоритетна област 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редовно обучен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консултантски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Конкретните изисквания за условията са посочени в т. е)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се предвиди процедура на докладване и периодично представяне на доказателства.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Интензитет и размер на помощта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ТП1 - Пакет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ТП2 - Пакет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ТП3 - Пакет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ТП4 - Пакет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ТП5 - Пакет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ТП6 - Пакет 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ТП1 - Пакет 1 - 453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ТП2 - Пакет 2- 296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ТП3 - Пакет 3- 120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ТП4 - Пакет 4- 425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ТП5 - Пакет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А -  438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Б -  550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само елемент В -  494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и Б заедно -  662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и В заедно -  623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А, Б и В заедно  -  916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 Пакет 5- елементи Б и В заедно -  707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ТП6 - Пакет 6- 278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наличието на редовно обучен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консултантски опит;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3"/>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и храните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 бенефициент е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обхващат минимум две съседни общини;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Общината, в която са разположени да е  извън  областния град</w:t>
            </w:r>
            <w:r>
              <w:rPr>
                <w:rStyle w:val="DefaultParagraphFont"/>
                <w:rFonts w:ascii="Times New Roman" w:eastAsia="Times New Roman" w:hAnsi="Times New Roman" w:cs="Times New Roman"/>
                <w:i/>
                <w:iCs/>
                <w:szCs w:val="24"/>
              </w:rPr>
              <w:t>;</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население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на тези критерии в наредбата за прилагане на мярката ще бъде определено местоположението и териториалния обхват на офисите.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1-ва година -100%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 година - 95%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3-та година - 90%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4-та година - 85%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5-та година - 80% от допустимите разходи по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5"/>
        <w:jc w:val="left"/>
        <w:rPr>
          <w:b w:val="0"/>
        </w:rPr>
      </w:pPr>
      <w:r>
        <w:rPr>
          <w:b w:val="0"/>
        </w:rPr>
        <w:br w:type="page"/>
      </w:r>
      <w:r>
        <w:rPr>
          <w:b w:val="0"/>
        </w:rPr>
        <w:t>Подмярка 2.3 Подпомагане за обучение на консултанти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4"/>
              </w:numPr>
              <w:rPr>
                <w:b w:val="0"/>
              </w:rPr>
            </w:pPr>
            <w:r>
              <w:rPr>
                <w:b w:val="0"/>
              </w:rPr>
              <w:t>2.3 — подкрепа за обучение на консултанти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Подмярката допринася към следните приоритетни области: </w:t>
            </w:r>
            <w:r>
              <w:rPr>
                <w:rStyle w:val="DefaultParagraphFont"/>
                <w:rFonts w:ascii="Times New Roman" w:eastAsia="Times New Roman" w:hAnsi="Times New Roman" w:cs="Times New Roman"/>
                <w:b/>
                <w:bCs/>
                <w:szCs w:val="24"/>
              </w:rPr>
              <w:t>4А; 4Б; 4В; 5А; 5Б; 5В; 5Г;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предоставя помощ за обучение на консултанти. Обучението на консултантите се определя като дейности за обучение за консултанти, ангажирани от организациите, доставчици на консултантски услуги. Обучението на консултантите  включва два вида обучителни дейности – семинари или курсове. Семинарите могат да бъда с продължителност от 1 до 3 дни. Курсовете могат да бъдат с продължителност от една до четири седмици. Темите за семинарите и курсовете за обучението на консултантите трябва да обхващат действащо или ново европейско и национално законодателство, новости, практики, научни резултати и други в приоритетните области по приоритет 4 и приоритет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разходи се изплащат на бенефициентите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се предоставя помощ за обучение на физически лица, които са наети към юридически лица или еднолични търговци, идентифицирани като  консултантски организации. Обучението се извършва от доставчици на обучение, които се определят като обучаващи организации по подмярката.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одобрение за получаване на подкрепа за обучение на консултантите в състава на организацията, консултантските организации трябва да представят план за обучение по приоритетните области на приоритет 4 и приоритет 5, брой консултанти, които са включени в плана по приоритети и бюджет за обучение. В рамките на одобрения бюджет консултантските организации могат да сключват договори за обучение на консултантите с обучаващи организации, които са избрани чрез тръжна процедура и са включени в Регистъра на обучаващите организации по подмярка 2.3. По процедурата за получаване на подпомагане за обучение за консултанти могат да участват консултантски организации, които отговарят на критериите, посочени в т. Специфична информация за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национално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както и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доставчиците на обучение за консултанти, които се определят като обучаващи организации по подмярка 2.3. За осъществяване на качествено обучение на консултантите, обучаващите организации могат да привличат и външни експерти с доказан професионален опит в областите на приложение на приоритет 4 и приоритет 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се избират след провеждане на процедура по правилата за обществените поръчки.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разходите за предоставяне на услугата обучение на консултанти. Разходите могат да включват</w:t>
            </w:r>
            <w:r>
              <w:rPr>
                <w:rStyle w:val="DefaultParagraphFont"/>
                <w:rFonts w:ascii="Times New Roman" w:eastAsia="Times New Roman" w:hAnsi="Times New Roman" w:cs="Times New Roman"/>
                <w:b/>
                <w:bCs/>
                <w:szCs w:val="24"/>
              </w:rPr>
              <w:t>:</w:t>
            </w:r>
          </w:p>
          <w:p>
            <w:pPr>
              <w:numPr>
                <w:ilvl w:val="0"/>
                <w:numId w:val="13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направени при организиране и доставяне на обучението на консултантите, включително заплати на служители на обучаващата организация, разходи за лектори, разходи за пътувания, материали, изготвени за обучението;</w:t>
            </w:r>
          </w:p>
          <w:p>
            <w:pPr>
              <w:numPr>
                <w:ilvl w:val="0"/>
                <w:numId w:val="13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мястото, където се доставя обучението, включително разходи за наем на зали и наем за демонстрационни обекти или обекти за практическо обучение.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Обучаващите организации трябва да отговарят на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„Науки за земята“, „Биологически науки“, „Икономика“, „Енергетика“, „Биотехнологии“, „Хранителни технологии“, „Общо инженерство“;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професионална гимназия по Закона за професионално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851 „Технологии за опазване на околната среда“;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са научни институти, които извършват научни изследвания и научно обслужване в областта на селското стопанство или горското стопанство, или опазване на околната среда, или хранителните технологии, или биотехнологиите и да са организации по Закона за Селскостопанската академия, Закона за Българската академия на науките, Закона за горите.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на обучаващите организации се базират на следните принципи и характеристики:</w:t>
            </w:r>
          </w:p>
          <w:p>
            <w:pPr>
              <w:numPr>
                <w:ilvl w:val="0"/>
                <w:numId w:val="13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опита на организацията в изпълнение на подобни дейности на дейностите, за които се кандидатства;</w:t>
            </w:r>
          </w:p>
          <w:p>
            <w:pPr>
              <w:numPr>
                <w:ilvl w:val="0"/>
                <w:numId w:val="1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квалификацията и опита на преподавателския персонал, който ще бъде пряко ангажиран в осъществяване на конкретните обучителни дейности;</w:t>
            </w:r>
          </w:p>
          <w:p>
            <w:pPr>
              <w:numPr>
                <w:ilvl w:val="0"/>
                <w:numId w:val="13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условията за провеждане на обучителните дейности.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обучение на консултанти е ограничена до 200 000 евро на три години.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3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Специфични условия за подмярка 2.1.2 и подмярка 2.2.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и храните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ще гарантира адаптирането на земеделското производство към промените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Области на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8"/>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Style w:val="DefaultParagraphFont"/>
                <w:rFonts w:ascii="Times New Roman" w:eastAsia="Times New Roman" w:hAnsi="Times New Roman" w:cs="Times New Roman"/>
                <w:szCs w:val="24"/>
                <w:u w:val="single"/>
              </w:rPr>
              <w:t xml:space="preserve"> съгласно чл. 46, § 4 от Регламент /ЕС/ 1305/2014</w:t>
            </w:r>
            <w:r>
              <w:rPr>
                <w:rStyle w:val="DefaultParagraphFont"/>
                <w:rFonts w:ascii="Times New Roman" w:eastAsia="Times New Roman" w:hAnsi="Times New Roman" w:cs="Times New Roman"/>
                <w:szCs w:val="24"/>
                <w:u w:val="single"/>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За инвестиции свързани с нетно увеличение на напояваната площ трябва да са изпълнени следните условия</w:t>
            </w:r>
            <w:r>
              <w:rPr>
                <w:rStyle w:val="DefaultParagraphFont"/>
                <w:rFonts w:ascii="Times New Roman" w:eastAsia="Times New Roman" w:hAnsi="Times New Roman" w:cs="Times New Roman"/>
                <w:szCs w:val="24"/>
                <w:u w:val="single"/>
              </w:rPr>
              <w:t xml:space="preserve"> съгласно чл. 46, § 5 от Регламент /ЕС/ 1305/2014: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Инвестициите в нови инсталации  за напояван</w:t>
            </w:r>
            <w:r>
              <w:rPr>
                <w:rStyle w:val="DefaultParagraphFont"/>
                <w:rFonts w:ascii="Times New Roman" w:eastAsia="Times New Roman" w:hAnsi="Times New Roman" w:cs="Times New Roman"/>
                <w:szCs w:val="24"/>
                <w:u w:val="single"/>
              </w:rPr>
              <w:t>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Площи, които не се напояват, но към 01.01.2007 г. в тях е действала напоителна инсталация се считат за напоявани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Първи стълб на ОСП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„Вино”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b/>
                <w:bCs/>
                <w:i/>
                <w:iCs/>
                <w:szCs w:val="24"/>
              </w:rPr>
              <w:t>„Тютюн”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„Зехтин”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„Хмел”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„Захар”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Земеделски производители /Физически и Юридически лица/:</w:t>
            </w:r>
          </w:p>
          <w:p>
            <w:pPr>
              <w:numPr>
                <w:ilvl w:val="0"/>
                <w:numId w:val="139"/>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Групи/Организации на производители:</w:t>
            </w:r>
          </w:p>
          <w:p>
            <w:pPr>
              <w:numPr>
                <w:ilvl w:val="0"/>
                <w:numId w:val="140"/>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4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4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Допустими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141"/>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Закупуване на софтуер;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Style w:val="DefaultParagraphFont"/>
                <w:rFonts w:ascii="Times New Roman" w:eastAsia="Times New Roman" w:hAnsi="Times New Roman" w:cs="Times New Roman"/>
                <w:szCs w:val="24"/>
              </w:rPr>
              <w:br/>
            </w:r>
            <w:r>
              <w:rPr>
                <w:rStyle w:val="DefaultParagraphFont"/>
                <w:rFonts w:ascii="Times New Roman" w:eastAsia="Times New Roman" w:hAnsi="Times New Roman" w:cs="Times New Roman"/>
                <w:szCs w:val="24"/>
              </w:rPr>
              <w:t>риба и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Style w:val="DefaultParagraphFont"/>
                <w:rFonts w:ascii="Times New Roman" w:eastAsia="Times New Roman" w:hAnsi="Times New Roman" w:cs="Times New Roman"/>
                <w:i/>
                <w:iCs/>
                <w:szCs w:val="24"/>
              </w:rPr>
              <w:t>,</w:t>
            </w:r>
            <w:r>
              <w:rPr>
                <w:rStyle w:val="DefaultParagraphFont"/>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Style w:val="DefaultParagraphFont"/>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4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3"/>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33  - 10 %;</w:t>
            </w:r>
          </w:p>
          <w:p>
            <w:pPr>
              <w:numPr>
                <w:ilvl w:val="0"/>
                <w:numId w:val="1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6"/>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4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4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 xml:space="preserve">Първи стълб на ОСП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„Вино”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b/>
                <w:bCs/>
                <w:i/>
                <w:iCs/>
                <w:szCs w:val="24"/>
              </w:rPr>
              <w:t>„Тютюн”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„Зехтин”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„Хмел”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„Захар”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Бенефициенти: </w:t>
            </w:r>
          </w:p>
          <w:p>
            <w:pPr>
              <w:numPr>
                <w:ilvl w:val="0"/>
                <w:numId w:val="14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4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4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4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4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151"/>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Закупуване на софтуер;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Style w:val="DefaultParagraphFont"/>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2.Месо и месни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3.Плодове и зеленчуци, включително гъби,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4.Пчелен мед,</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5.Зърнени, мелничарски  и нишестени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6.Растителни и животински масла и мазнини,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8.Готови храни за селскостопански животни,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9.Гроздова мъст, вино и оцет,</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с дейности, подпомагани по линия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5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3"/>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53"/>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4"/>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5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5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5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5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szCs w:val="24"/>
              </w:rPr>
              <w:t>Закупуване на съоръжения, оборудване за преработка на пчелен мед и пчелни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w:t>
            </w:r>
          </w:p>
          <w:p>
            <w:pPr>
              <w:numPr>
                <w:ilvl w:val="0"/>
                <w:numId w:val="15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Размерът на финансовата помощ се увеличава с 10 процентни пункта, </w:t>
            </w:r>
            <w:r>
              <w:rPr>
                <w:rStyle w:val="DefaultParagraphFont"/>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Style w:val="DefaultParagraphFont"/>
                <w:rFonts w:ascii="Times New Roman" w:eastAsia="Times New Roman" w:hAnsi="Times New Roman" w:cs="Times New Roman"/>
                <w:szCs w:val="24"/>
              </w:rPr>
              <w:t>за проекти с  дейности, подпомагани по линия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Административен капацитет.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w:t>
            </w:r>
          </w:p>
          <w:p>
            <w:pPr>
              <w:numPr>
                <w:ilvl w:val="0"/>
                <w:numId w:val="15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 „Непроизводствени инвестиции“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9"/>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непроизводствени дейности предоставят възможност за насърчаване в значителна степен правилното използване на ландшафта по екологосъобразен начин. Необходимо е въвеждане на природосъобразни практики за опазване на биологичното разнообразие в земите с висока природна стойност и зоните от Натура 2000 и съхраняване на ценните местообитания и видове. За спазване на някои от забраните в местата от Натура 2000 са необходими и специфични инвестиции, свързани с опазването на биоразнообразието в тях. Също така е необходимо да се ограничат деградационните процеси на почвата чрез прилагане на екологосъобразни методи, предотвратяващи деградация на почвата и иновации в прилагане на техниките и технологии за екологосъобразни практики. Подкрепата за непроизводствени дейности, свързани с ползването на земите и опазването и в добро земеделско и екологично състояние ще предотвратят изоставянето на земеделските земи и ще се намали почвената ерозия. Чрез непроизводствени инвестиции по подмярката ще се запази ландшафта и богатсвото на флората и фауната в районите с висока природна стойност и Натура 2000, подобряване на състоянието на околната среда. Подкрепата по подмярката е насочена към инвестиции в непроизводствени дейности свързани с постигане на агроекологичните и климатични цели на територията на цялата страна, включително ангажиментите за запазване на биологичното разнообразие на местообитанията и видовете, както и за увеличаване на привлекателността на районите от Натура 2000 или райони с висока природна стойност.</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непроизводствени инвестиции, които не водят до значително увеличаване на стойността, рентабилността и производствения капацитет на земеделското стопанство. Предвидената подкрепа е насочена към дейности свързани със създаването и възстановяване на равнинни и полупланински характеристики на ландшафта от дървесни видове от  местен произход, възстановяване и създаване на влажни зони, възстановяване на пасища и ливади, управление на местообитания, включително в обхвата на Натура 2000 и такива свързани с контрол на почвената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Непроизводствени инвестиции за придобиване на активи: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подобрителни мероприятия в пасищата.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Непроизводствени инвестиции в стопанствата обвързани с обработваемата площ и пряко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Възстановяване и поддържане на затревени площи с висока природна стойност: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възстановяване на групи дървета и дървесни ивици с определена площ, разположени в равнинни обработваеми земи и /или и полупланински пасища и ливади, възстановяване на полска граница /синори и живи плетове/ с определена площ. Възстановяване на влаголюбива растителност, укрепване на бреговете при наклон, разчистване от нежелана растителност;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-Разчистване на нежелана растителност, презасяване със смески с местен произход, подобрителни мероприятия в пасищата - почистване на пасищата от камъни, храсти и вредна растителност;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Поддържане на местообитанията на защитени видове в обработваеми: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малки елементи за облагородяване на местата - построяване на къщички за птици, изграждане на беседки, екопътеки, поставяне на обозначителни информационни табели и др., включително изграждане на малки водоеми;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Контрол на почвената ерозия: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затревени буферни ивици и изграждане на наорни тераси.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Традиционни практики за сезонна паша: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навеси и заслони за стадата и хората на отдалечени места, изграждане на места за водопой.</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Земеделски производители /Физически и Юридически лица/: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Минималния стандартен производствен обем на стопанството на кандидата следва да бъде не по - малко от 8 000 евро;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Кандидатите следва да представят бизнес план, доказващ положителен финансов резултат от дейността на земеделското стопанство и принос към опазване на компонентите на околната среда  на планираните инвестиции и дейности включени в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Групи/Организации на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Инвестициите следва да са свързани с основата земеделска дейност на членовете на организацията, която е основна и за организацията;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Кандидатите следва да представят бизнес план, доказващ положителен финансов резултат от земеделската дейност на земеделските стопанства на членовете и основна за организацията и принос към опазване на компонентите на околната среда чрез прилагане на планираните инвестиции и дейности включени в проекта;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Проектът трябва да показва, че инвестициите са от полза на цялата организация на производители и допринасят за опазване на компонентите на околната среда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Представените от кандидатите за подпомагане дейности трябва да допринасят положително за опазване на компонентите на околната среда.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Закупуване на посадъчен материал и тревни смески, механизирани и ръчни услуги свързани с постигане изпълнението на подпомаганите дейности, включително възстановяване на влаголюбива растителност, укрепване на бреговете при наклон, разчистване от нежелана растителност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2. Изграждане, придобиване и подобряване на недвижимо имущество, </w:t>
            </w:r>
            <w:r>
              <w:rPr>
                <w:rStyle w:val="DefaultParagraphFont"/>
                <w:rFonts w:ascii="Times New Roman" w:eastAsia="Times New Roman" w:hAnsi="Times New Roman" w:cs="Times New Roman"/>
                <w:i/>
                <w:iCs/>
                <w:szCs w:val="24"/>
              </w:rPr>
              <w:t>като например: изграждане на навеси и заслони за стадата и хората на отдалечени места, изграждане на места за водопой, поставяне обозначителни табели и изграждане на къщички за птици, кацалки, платформи за гнезда, обособяване на пътеки, подържане и изграждане на малки водоеми в затревени площи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инвестиции за подържане и изграждане на малки водоеми трябва да отговарят на изискванията на Рамковата директива за водите (2000/60/ЕО) и Плановете за управление на речните басейни съгласувано от съответната структура на МОСВ/Басейнова дирекция/.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дейности, за които не е представена оценка на въздействие върху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финансовата помощ приоритет ще бъде осигурен за подпомагане на проекти представени от биологични производители. Приоритет ще бъде предоставен за кандидати, в чиито стопанства са налице доброволно поети ангажименти за изпълнение на агроекологични дейности. Приоритет ще бъде предоставян за проекти допринасящи за насърчаване на кооперирането между производителите и такива, които се изпълняват в места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приоритетите, включени в подмярката ще бъде постигано с целеви приеми и критерии за оценка, чиято тежест ще бъде определена в националното законодателство.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инвестиции в непроизводствени инвестиции е в размер на 100%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едно проектно предложение е в рамките 3 500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Максималните нива на допустимите разходи ще бъдат ограничени на база вида на инвестиционната подкрепа.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промяна на условията, за които кандидатът е получил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6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Контролните процедури ще включват проверки за спазването на условията, за които бенефициента е получил приоритет.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спомогне за въвеждане на природосъобразни практики за опазване на биологичното разнообразие и правилно използване на ландшафта. 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4.4.2 Непроизводствени инвестиции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61"/>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Малките стопанства имат значителен принос по отношение опазване на природните ресурси, ландшафта и биоразнообразието в България. Опазването, възстановяването и подходящото им управление е главната цел на устойчивото развитие на селските райони. Чрез непроизводствени инвестиции по тази операция ще се запази ландшафта и богатството на флората и фауната в районите с висока природна стойност и Нтура 2000, подобряване състоянието на околната среда. Подкрепата по операцията е насочена към инвестиции в непроизводствени дейности, свързани с постигане на агроекологичните и климатични цели, включително ангажиментите за запазване на биологичната разнообразие на местообитанията и видовете, както и за увеличаване на привлекателността на районите от Натура 2000 или районите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капиталови дейности в рамките на ангажиментите по агроекологията и климата и Натура 2000, например възстановяване на местообитания и ландшафти, включително създаване или повторно обезпечаване на необходимата инфраструктура, за да се осъществява подходящо управление на местообитанията;</w:t>
            </w:r>
          </w:p>
          <w:p>
            <w:pPr>
              <w:numPr>
                <w:ilvl w:val="0"/>
                <w:numId w:val="1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и други работи за улесняване управлението по опазването, включително системи за защита на водите и почвата;</w:t>
            </w:r>
          </w:p>
          <w:p>
            <w:pPr>
              <w:numPr>
                <w:ilvl w:val="0"/>
                <w:numId w:val="1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влажни зони;</w:t>
            </w:r>
          </w:p>
          <w:p>
            <w:pPr>
              <w:numPr>
                <w:ilvl w:val="0"/>
                <w:numId w:val="16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елементите и функциите на ландшафта.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19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разходи по тази подмярка са: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навеси (кошари) и заслони за стадата и хората на отдалечени места в планината с цел стимулиране пашуването в отдалечени места;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места за водопой на добитъка;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Поставяне на обозначителни табели;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къщички за птици, кацалки, платформи за гнезда;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Обособяване на пътеки за пешеходни и колоездачни маршрути;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Поддържане на естествените малки водоеми, които се намират на територията на затревени площи;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на малки водоеми (до 500 кв. м) с постоянно водно огледало. Водоемите се изграждат от естествени материали, без бетон, желязо и др.; без зарибяване и без екзотични растения; не се допуска достъп на животни в тях;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Засаждане на единични и/или групи дървета, от местни видове и поддържането  им за период от 5 години;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Други добре обосновани от кандидатите дейности, които биха допринесли за опазване на биологичното разнообразие в стопанисваните от него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на 100 %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помощта за едно проектно предложение е 25 000 евро, а за проекти представляващи колективни инвестиции 50 000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Липсата на разбиране на изискванията и информираност от страна на бенефициентите,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 и по отношение на І стълб от ОСП;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6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6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Действията свързани с преодоляване на рисковите области ще бъдат насочени към:</w:t>
            </w:r>
          </w:p>
          <w:p>
            <w:pPr>
              <w:numPr>
                <w:ilvl w:val="0"/>
                <w:numId w:val="16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Ясно и точно дефиниране в приложимото законодателство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numPr>
                <w:ilvl w:val="0"/>
                <w:numId w:val="1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информираност, публичност, съвети и обучения на потенциални кандидати и бенефициентите, с цел гарантиране повишаването на компетенциите им и изпълнението на техните задължения и ангажименти.</w:t>
            </w:r>
          </w:p>
          <w:p>
            <w:pPr>
              <w:numPr>
                <w:ilvl w:val="0"/>
                <w:numId w:val="1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капацитет по отношение извършването на проверки в областта на обществените поръчки чрез обучения, семинари, обмяна на опит и др.</w:t>
            </w:r>
          </w:p>
          <w:p>
            <w:pPr>
              <w:numPr>
                <w:ilvl w:val="0"/>
                <w:numId w:val="1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Усъвършенстване на съществуващите системи за контрол и разработването на нови такива на база натрупания опит по отношение на спецификата на различните видове инвестиционна подкрепа. Системите за контрол и оценка ще гарантират, че съответните избрани операции отговарят на критериите и изискванията заложени в Програмата.</w:t>
            </w:r>
          </w:p>
          <w:p>
            <w:pPr>
              <w:numPr>
                <w:ilvl w:val="0"/>
                <w:numId w:val="16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балансирано разпределение на средствата ще бъде осигурено целево насочване на финансовия ресурс към чувствителни сектори определени в Програмата.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Недопустими разходи за подмерки 4.1, 4.2 и 4.4:</w:t>
            </w:r>
          </w:p>
          <w:p>
            <w:pPr>
              <w:numPr>
                <w:ilvl w:val="0"/>
                <w:numId w:val="16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1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1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1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Финансови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Авансово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66"/>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6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Административно и финансово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6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Прекратяване или преместване на производствена дейност;</w:t>
            </w:r>
          </w:p>
          <w:p>
            <w:pPr>
              <w:numPr>
                <w:ilvl w:val="0"/>
                <w:numId w:val="1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Процент съфинансиране: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pStyle w:val="BodyText"/>
              <w:jc w:val="both"/>
              <w:rPr>
                <w:b w:val="0"/>
              </w:rPr>
            </w:pPr>
          </w:p>
        </w:tc>
      </w:tr>
    </w:tbl>
    <w:p>
      <w:pPr>
        <w:pStyle w:val="Heading3"/>
        <w:jc w:val="left"/>
        <w:rPr>
          <w:b w:val="0"/>
        </w:rPr>
      </w:pPr>
      <w:r>
        <w:rPr>
          <w:b w:val="0"/>
        </w:rPr>
        <w:br w:type="page"/>
      </w:r>
      <w:bookmarkStart w:id="121" w:name="_Toc256000121"/>
      <w:r>
        <w:rPr>
          <w:b w:val="0"/>
        </w:rPr>
        <w:t>M06 — Развитие на стопанства и предприятия (член 19)</w:t>
      </w:r>
      <w:bookmarkEnd w:id="12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периода 2007-2012 г. се наблюдават значителни промени в </w:t>
            </w:r>
            <w:r>
              <w:rPr>
                <w:rStyle w:val="DefaultParagraphFont"/>
                <w:rFonts w:ascii="Times New Roman" w:eastAsia="Times New Roman" w:hAnsi="Times New Roman" w:cs="Times New Roman"/>
                <w:i/>
                <w:iCs/>
                <w:szCs w:val="24"/>
              </w:rPr>
              <w:t>отрасловата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структура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i/>
                <w:iCs/>
                <w:szCs w:val="24"/>
              </w:rPr>
              <w:t>земеделието</w:t>
            </w:r>
            <w:r>
              <w:rPr>
                <w:rStyle w:val="DefaultParagraphFont"/>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Принос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мярката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към</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междусекторните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цели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приоритетни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области</w:t>
            </w:r>
            <w:r>
              <w:rPr>
                <w:rStyle w:val="DefaultParagraphFont"/>
                <w:rFonts w:ascii="Times New Roman" w:eastAsia="Times New Roman" w:hAnsi="Times New Roman" w:cs="Times New Roman"/>
                <w:b/>
                <w:bCs/>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2</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(отнася се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2</w:t>
            </w: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3</w:t>
            </w: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(отнася се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w:t>
            </w:r>
            <w:r>
              <w:rPr>
                <w:rStyle w:val="DefaultParagraphFont"/>
                <w:rFonts w:ascii="Times New Roman" w:eastAsia="Times New Roman" w:hAnsi="Times New Roman" w:cs="Times New Roman"/>
                <w:b/>
                <w:bCs/>
                <w:szCs w:val="24"/>
              </w:rPr>
              <w:t xml:space="preserve"> 5</w:t>
            </w: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 6А</w:t>
            </w:r>
            <w:r>
              <w:rPr>
                <w:rStyle w:val="DefaultParagraphFont"/>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Цели на мярката:</w:t>
            </w:r>
          </w:p>
          <w:p>
            <w:pPr>
              <w:numPr>
                <w:ilvl w:val="0"/>
                <w:numId w:val="16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сезонните колебания в заетостта;</w:t>
            </w:r>
          </w:p>
          <w:p>
            <w:pPr>
              <w:numPr>
                <w:ilvl w:val="0"/>
                <w:numId w:val="16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70"/>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съответните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Определение за създаване на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на стопанството е период, в който се отчитат следните събития: началото на създаването, период на кандидатстване за подпомагане по подмярката и край на създаването на стопанството. Събитията се определят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начало на създаване на стопанство се има предвид едно от следните събития, което е настъпило първо:</w:t>
            </w:r>
          </w:p>
          <w:p>
            <w:pPr>
              <w:numPr>
                <w:ilvl w:val="0"/>
                <w:numId w:val="17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17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1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могат да заявят подпомагане не по-късно от 18 месеца, считано от датата, на която е стартирало създаването на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17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1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1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1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1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17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17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1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„Животновъдство”</w:t>
            </w:r>
          </w:p>
          <w:p>
            <w:pPr>
              <w:numPr>
                <w:ilvl w:val="0"/>
                <w:numId w:val="1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„Плодове и зеленчуци”</w:t>
            </w:r>
          </w:p>
          <w:p>
            <w:pPr>
              <w:numPr>
                <w:ilvl w:val="0"/>
                <w:numId w:val="1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17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174"/>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Контрол се извършва чрез посещения и проверки.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Внимание върху специфични въпроси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Младият земеделски стопанин не е допустим за второ плащане, ако:</w:t>
            </w:r>
          </w:p>
          <w:p>
            <w:pPr>
              <w:numPr>
                <w:ilvl w:val="0"/>
                <w:numId w:val="17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17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Преходни договорености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17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17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Регистрация като земеделски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поне:</w:t>
            </w:r>
          </w:p>
          <w:p>
            <w:pPr>
              <w:numPr>
                <w:ilvl w:val="0"/>
                <w:numId w:val="17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Резюме на плана ;</w:t>
            </w:r>
          </w:p>
          <w:p>
            <w:pPr>
              <w:numPr>
                <w:ilvl w:val="0"/>
                <w:numId w:val="1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1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1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17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17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описание на инвестициите:</w:t>
            </w:r>
          </w:p>
          <w:p>
            <w:pPr>
              <w:numPr>
                <w:ilvl w:val="0"/>
                <w:numId w:val="18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1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1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w:t>
            </w:r>
            <w:r>
              <w:rPr>
                <w:rStyle w:val="DefaultParagraphFont"/>
                <w:rFonts w:ascii="Times New Roman" w:eastAsia="Times New Roman" w:hAnsi="Times New Roman" w:cs="Times New Roman"/>
                <w:szCs w:val="24"/>
              </w:rPr>
              <w:t>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81"/>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1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1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1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8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Подпомаганата дейност да се извършва в селски район;</w:t>
            </w:r>
          </w:p>
          <w:p>
            <w:pPr>
              <w:numPr>
                <w:ilvl w:val="0"/>
                <w:numId w:val="1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1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1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не оказва отрицателно влияние върху околната среда;</w:t>
            </w:r>
          </w:p>
          <w:p>
            <w:pPr>
              <w:numPr>
                <w:ilvl w:val="0"/>
                <w:numId w:val="1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1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18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18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18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развитие на занаяти, социални и здравни услуги;</w:t>
            </w:r>
          </w:p>
          <w:p>
            <w:pPr>
              <w:numPr>
                <w:ilvl w:val="0"/>
                <w:numId w:val="1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1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1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регистрирани като тютюнопроизводители;</w:t>
            </w:r>
          </w:p>
          <w:p>
            <w:pPr>
              <w:numPr>
                <w:ilvl w:val="0"/>
                <w:numId w:val="1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18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на заетост.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Изискване на документи в нормативната уредба, даващи възможност за проверка и определяне на съответствието със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съдържа най-малко следните елементи:</w:t>
            </w:r>
          </w:p>
          <w:p>
            <w:pPr>
              <w:numPr>
                <w:ilvl w:val="0"/>
                <w:numId w:val="18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Резюме на плана;</w:t>
            </w:r>
          </w:p>
          <w:p>
            <w:pPr>
              <w:numPr>
                <w:ilvl w:val="0"/>
                <w:numId w:val="1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Първоначално икономическо състояние на кандидата;</w:t>
            </w:r>
          </w:p>
          <w:p>
            <w:pPr>
              <w:numPr>
                <w:ilvl w:val="0"/>
                <w:numId w:val="1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 на пазара, въздействие върху конкурентите;</w:t>
            </w:r>
          </w:p>
          <w:p>
            <w:pPr>
              <w:numPr>
                <w:ilvl w:val="0"/>
                <w:numId w:val="1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Етапи и цели за развитие на новите дейности на кандидата;</w:t>
            </w:r>
          </w:p>
          <w:p>
            <w:pPr>
              <w:numPr>
                <w:ilvl w:val="0"/>
                <w:numId w:val="18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Прогноза на нетните парични потоци;</w:t>
            </w:r>
          </w:p>
          <w:p>
            <w:pPr>
              <w:numPr>
                <w:ilvl w:val="0"/>
                <w:numId w:val="1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87"/>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18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1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1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1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бъде даден на проекти на земеделски стопани, които:</w:t>
            </w:r>
          </w:p>
          <w:p>
            <w:pPr>
              <w:numPr>
                <w:ilvl w:val="0"/>
                <w:numId w:val="18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1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1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18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Style w:val="DefaultParagraphFont"/>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Style w:val="DefaultParagraphFont"/>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19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191"/>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Регистрация като земеделски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Характеристика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Целите, които следва да бъдат постигнати като минимум са:</w:t>
            </w:r>
          </w:p>
          <w:p>
            <w:pPr>
              <w:numPr>
                <w:ilvl w:val="0"/>
                <w:numId w:val="19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и/или</w:t>
            </w:r>
          </w:p>
          <w:p>
            <w:pPr>
              <w:numPr>
                <w:ilvl w:val="0"/>
                <w:numId w:val="19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и/или</w:t>
            </w:r>
          </w:p>
          <w:p>
            <w:pPr>
              <w:numPr>
                <w:ilvl w:val="0"/>
                <w:numId w:val="19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19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Производствена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5"/>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Style w:val="DefaultParagraphFont"/>
                <w:rFonts w:ascii="Times New Roman" w:eastAsia="Times New Roman" w:hAnsi="Times New Roman" w:cs="Times New Roman"/>
                <w:i/>
                <w:iCs/>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допринася към приоритетни области 6А и 5В.</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1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1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1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текущи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одобрената финансова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9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се осъществява в селски район;</w:t>
            </w:r>
          </w:p>
          <w:p>
            <w:pPr>
              <w:numPr>
                <w:ilvl w:val="0"/>
                <w:numId w:val="1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няма отрицателно влияние върху околната среда;</w:t>
            </w:r>
          </w:p>
          <w:p>
            <w:pPr>
              <w:numPr>
                <w:ilvl w:val="0"/>
                <w:numId w:val="1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19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1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19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19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1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включващи иновации;</w:t>
            </w:r>
          </w:p>
          <w:p>
            <w:pPr>
              <w:numPr>
                <w:ilvl w:val="0"/>
                <w:numId w:val="1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0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на тютюнопроизводители;</w:t>
            </w:r>
          </w:p>
          <w:p>
            <w:pPr>
              <w:numPr>
                <w:ilvl w:val="0"/>
                <w:numId w:val="2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0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производствени дейности;</w:t>
            </w:r>
          </w:p>
          <w:p>
            <w:pPr>
              <w:numPr>
                <w:ilvl w:val="0"/>
                <w:numId w:val="20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създаващи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не може да надвишава 75%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 стойност на допустимите разходи – 10 000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Резюме на плана;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Прогноза на нетните парични потоци;</w:t>
            </w:r>
          </w:p>
          <w:p>
            <w:pPr>
              <w:spacing w:before="240" w:after="240"/>
              <w:ind w:left="14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02"/>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Приоритетни области: 2А и 3А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0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Развитие на селски туризъм</w:t>
            </w:r>
            <w:r>
              <w:rPr>
                <w:rStyle w:val="DefaultParagraphFont"/>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Style w:val="DefaultParagraphFont"/>
                <w:rFonts w:ascii="Times New Roman" w:eastAsia="Times New Roman" w:hAnsi="Times New Roman" w:cs="Times New Roman"/>
                <w:i/>
                <w:iCs/>
                <w:szCs w:val="24"/>
              </w:rPr>
              <w:t>;</w:t>
            </w:r>
          </w:p>
          <w:p>
            <w:pPr>
              <w:numPr>
                <w:ilvl w:val="0"/>
                <w:numId w:val="2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Местно занаятчийство </w:t>
            </w:r>
            <w:r>
              <w:rPr>
                <w:rStyle w:val="DefaultParagraphFont"/>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Style w:val="DefaultParagraphFont"/>
                <w:rFonts w:ascii="Times New Roman" w:eastAsia="Times New Roman" w:hAnsi="Times New Roman" w:cs="Times New Roman"/>
                <w:i/>
                <w:iCs/>
                <w:szCs w:val="24"/>
              </w:rPr>
              <w:t>;</w:t>
            </w:r>
          </w:p>
          <w:p>
            <w:pPr>
              <w:numPr>
                <w:ilvl w:val="0"/>
                <w:numId w:val="2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Style w:val="DefaultParagraphFont"/>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85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текущи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0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0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20% суровини от етеричномаслени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Ограниченията не се прилагат за отпадъчни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процеса на избор ще се дава приоритет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представени от жени и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постоянна заетост;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0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Включване в нормативната уредба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9.1. Ясно дефиниране в нормативната уредба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Регистрация като земеделски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Характеристика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Рисковете са описани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Дефиниция за малко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Определение за "</w:t>
            </w:r>
            <w:r>
              <w:rPr>
                <w:rStyle w:val="DefaultParagraphFont"/>
                <w:rFonts w:ascii="Times New Roman" w:eastAsia="Times New Roman" w:hAnsi="Times New Roman" w:cs="Times New Roman"/>
                <w:i/>
                <w:iCs/>
                <w:szCs w:val="24"/>
              </w:rPr>
              <w:t>селски район</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0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0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1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2" w:name="_Toc256000122"/>
      <w:r>
        <w:rPr>
          <w:b w:val="0"/>
        </w:rPr>
        <w:t>М07 — Основни услуги и обновяване на селата в селските райони (член 20)</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Приоритет 6</w:t>
            </w:r>
            <w:r>
              <w:rPr>
                <w:rStyle w:val="DefaultParagraphFont"/>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11"/>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1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Реконструкция и/или ремонт на общински сгради, в които се предоставят обществени услуги, с цел подобряване на тяхната енергийна ефективност;</w:t>
            </w:r>
          </w:p>
          <w:p>
            <w:pPr>
              <w:numPr>
                <w:ilvl w:val="0"/>
                <w:numId w:val="2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Читалища за дейности свързани с културния живот;</w:t>
            </w:r>
          </w:p>
          <w:p>
            <w:pPr>
              <w:numPr>
                <w:ilvl w:val="0"/>
                <w:numId w:val="2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1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1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1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Style w:val="DefaultParagraphFont"/>
                <w:rFonts w:ascii="Times New Roman" w:eastAsia="Times New Roman" w:hAnsi="Times New Roman" w:cs="Times New Roman"/>
                <w:szCs w:val="24"/>
                <w:u w:val="single"/>
              </w:rPr>
              <w:t>по-висок</w:t>
            </w:r>
            <w:r>
              <w:rPr>
                <w:rStyle w:val="DefaultParagraphFont"/>
                <w:rFonts w:ascii="Times New Roman" w:eastAsia="Times New Roman" w:hAnsi="Times New Roman" w:cs="Times New Roman"/>
                <w:szCs w:val="24"/>
              </w:rPr>
              <w:t xml:space="preserve"> клас републикански пътища;</w:t>
            </w:r>
          </w:p>
          <w:p>
            <w:pPr>
              <w:numPr>
                <w:ilvl w:val="0"/>
                <w:numId w:val="2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1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1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1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1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1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в Северозападен район;</w:t>
            </w:r>
          </w:p>
          <w:p>
            <w:pPr>
              <w:numPr>
                <w:ilvl w:val="0"/>
                <w:numId w:val="2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2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2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2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Инфраструктура в Северозападен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2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2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5"/>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2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2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изграждането на инфраструктура в белите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2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свързаност с общинския център;</w:t>
            </w:r>
          </w:p>
          <w:p>
            <w:pPr>
              <w:numPr>
                <w:ilvl w:val="0"/>
                <w:numId w:val="2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2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Насоките на ЕК за Анализ на разходите и ползите от инвестиционните проекти за кохезионната политика за 2014-2020 и Регламент за изпълнение (ЕС) 2015/207 на Комисията от 20 януари 2015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7.5. Инвестиции за публично ползване в инфраструктура за отдих, туристическа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9"/>
              </w:numPr>
              <w:rPr>
                <w:b w:val="0"/>
              </w:rPr>
            </w:pPr>
            <w:r>
              <w:rPr>
                <w:b w:val="0"/>
              </w:rPr>
              <w:t>7.5 — подкрепа за публично ползване в инфраструктура за отдих, туристическа информация и малка по мащаб туристическа инфраструктура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Туризмът е сред приоритетите на регионалната политика в България. На него се разчита за осезателен принос към постигане на балансирано и устойчиво развитие на българските общини и райони. Развитието на туризма в селски райони, особено в по-отдалечените периферни, крайгранични и планински общини, в които има уникални туристически ресурси следва да се обвърже с националните и европейски културни и туристически маршрути и с развитите туристически зони, за да получат шанс за адекватно експониране и популяризиране на ценностите в малките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туристически информационни центрове;</w:t>
            </w:r>
          </w:p>
          <w:p>
            <w:pPr>
              <w:numPr>
                <w:ilvl w:val="0"/>
                <w:numId w:val="2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посетителските центрове за представяне и експониране на местното природно и културно наследство;</w:t>
            </w:r>
          </w:p>
          <w:p>
            <w:pPr>
              <w:numPr>
                <w:ilvl w:val="0"/>
                <w:numId w:val="2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закупуване на оборудване и/или обзавеждане на центровете за изкуство и занаяти с туристическа цел;</w:t>
            </w:r>
          </w:p>
          <w:p>
            <w:pPr>
              <w:numPr>
                <w:ilvl w:val="0"/>
                <w:numId w:val="2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и закупуване на съоръжения за туристически атракции, които са свързани с местното природно, културно и/или историческо наследство и предоставящи услуги с познавателна или образователна цел;</w:t>
            </w:r>
          </w:p>
          <w:p>
            <w:pPr>
              <w:numPr>
                <w:ilvl w:val="0"/>
                <w:numId w:val="2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реконструкция, ремонт и закупуване на съоръжения за туристическа инфраструктура (информационни табели и пътепоказатели за туристическите места и маршрути, съоръжения за безопасност, велоалеи и туристически пътеки).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 Насоки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3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в селските райони;</w:t>
            </w:r>
          </w:p>
          <w:p>
            <w:pPr>
              <w:numPr>
                <w:ilvl w:val="0"/>
                <w:numId w:val="23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 нестопанска цел.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Следните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3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3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предвидените дейности да се изпълняват в съответствие с програмата за развитие на туризма на територията на общината;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дейността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не са обявени за недвижима културна ценност от национално и световно значение; да са придружени с анализ на икономическите и социалните ползи в който е доказано, че инвестицията ще доведат до социално–икономическо развитие на селският район; да съдържат аргументация за устойчивостта на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свързани с опазването, популяризирането и развитието на културното наследство на обекти от национално и световно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подпомагат дейности за изграждане, реконструкция, ремонт и закупуване на съоръжения за туристически атракции и на съоръжения за туристическа инфраструктура в рамките на териториите, подпомагани от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подмярката за един кандидат не може да надхвърля левовата равностойност на 200 000 евро за един обект и 1 000 000 за периода на прилагане на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за подбор приоритет ще бъде даван на:</w:t>
            </w:r>
          </w:p>
          <w:p>
            <w:pPr>
              <w:numPr>
                <w:ilvl w:val="0"/>
                <w:numId w:val="23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в населените места, където ще се извършват допустимите дейности;</w:t>
            </w:r>
          </w:p>
          <w:p>
            <w:pPr>
              <w:numPr>
                <w:ilvl w:val="0"/>
                <w:numId w:val="2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изпълнявани на територията на Северозападен район;</w:t>
            </w:r>
          </w:p>
          <w:p>
            <w:pPr>
              <w:numPr>
                <w:ilvl w:val="0"/>
                <w:numId w:val="23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създаващи работни места при изпълнение на допустимите дейности;</w:t>
            </w:r>
          </w:p>
          <w:p>
            <w:pPr>
              <w:numPr>
                <w:ilvl w:val="0"/>
                <w:numId w:val="23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осигуряващи подобряване на околната среда и постигащи екологичен ефект и въздействие.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 общини и ЮЛНЦ,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3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3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3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36"/>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се свеждат до: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Подобренията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критериите за подбор приоритет ще бъде даван на:</w:t>
            </w:r>
          </w:p>
          <w:p>
            <w:pPr>
              <w:numPr>
                <w:ilvl w:val="0"/>
                <w:numId w:val="23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население, което ще се възползва от допустимите дейности;</w:t>
            </w:r>
          </w:p>
          <w:p>
            <w:pPr>
              <w:numPr>
                <w:ilvl w:val="0"/>
                <w:numId w:val="23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3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3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3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3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Ранното предоставяне на авансови плащания;</w:t>
            </w:r>
          </w:p>
          <w:p>
            <w:pPr>
              <w:numPr>
                <w:ilvl w:val="0"/>
                <w:numId w:val="23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4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4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4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М08 — Инвестиции в развитие на горските райони и подобряване на жизнеспособността на горите (членове 21 — 26)</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43"/>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земеделски и неземеделски земи;</w:t>
            </w:r>
          </w:p>
          <w:p>
            <w:pPr>
              <w:numPr>
                <w:ilvl w:val="0"/>
                <w:numId w:val="24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земеделски и неземеделски земи;</w:t>
            </w:r>
          </w:p>
          <w:p>
            <w:pPr>
              <w:numPr>
                <w:ilvl w:val="0"/>
                <w:numId w:val="24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 частноправни субекти, стопанисващи земеделски и неземеделски земи, в т.ч. и Държавни предприятия по чл. 163 от Закона за горите, управляващи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46"/>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Почвоподготовка;</w:t>
            </w:r>
          </w:p>
          <w:p>
            <w:pPr>
              <w:numPr>
                <w:ilvl w:val="0"/>
                <w:numId w:val="2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залесителен материал;</w:t>
            </w:r>
          </w:p>
          <w:p>
            <w:pPr>
              <w:numPr>
                <w:ilvl w:val="0"/>
                <w:numId w:val="2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Транспорт и временно съхранение на залесителния материал;</w:t>
            </w:r>
          </w:p>
          <w:p>
            <w:pPr>
              <w:numPr>
                <w:ilvl w:val="0"/>
                <w:numId w:val="2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труд при залесяване;</w:t>
            </w:r>
          </w:p>
          <w:p>
            <w:pPr>
              <w:numPr>
                <w:ilvl w:val="0"/>
                <w:numId w:val="2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на залесената територия (където това е необходимо);</w:t>
            </w:r>
          </w:p>
          <w:p>
            <w:pPr>
              <w:numPr>
                <w:ilvl w:val="0"/>
                <w:numId w:val="2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(презасяване или презасаждане);</w:t>
            </w:r>
          </w:p>
          <w:p>
            <w:pPr>
              <w:numPr>
                <w:ilvl w:val="0"/>
                <w:numId w:val="2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4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46"/>
              </w:numPr>
              <w:spacing w:before="0" w:after="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46"/>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4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4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на земята, която ще залесяват или правото си да я стопанисват.</w:t>
            </w:r>
          </w:p>
          <w:p>
            <w:pPr>
              <w:numPr>
                <w:ilvl w:val="0"/>
                <w:numId w:val="24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5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залесяване трябва да бъде както следва:</w:t>
            </w:r>
          </w:p>
          <w:p>
            <w:pPr>
              <w:numPr>
                <w:ilvl w:val="0"/>
                <w:numId w:val="25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физически и юридически лица и местни поделения на вероизповеданията, собственици на земеделски и неземеделски земи – 0.5 ха;</w:t>
            </w:r>
          </w:p>
          <w:p>
            <w:pPr>
              <w:numPr>
                <w:ilvl w:val="0"/>
                <w:numId w:val="25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общини, собственици/стопанисващи земеделски и неземеделски земи – 1.0 ха;</w:t>
            </w:r>
          </w:p>
          <w:p>
            <w:pPr>
              <w:numPr>
                <w:ilvl w:val="0"/>
                <w:numId w:val="25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юридически лица - частноправни субекти, стопанисващи земеделски и неземеделски земи – 1.0 ха.</w:t>
            </w:r>
          </w:p>
          <w:p>
            <w:pPr>
              <w:numPr>
                <w:ilvl w:val="0"/>
                <w:numId w:val="25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5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 се допуска подпомагане:</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5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75%.</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разпокъсаността и малкият размер на имотите;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и храните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Информация за спецификата на работата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Ограждане на културите се прилага при необходимост.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3" name=""/>
                  <wp:cNvGraphicFramePr/>
                  <a:graphic xmlns:a="http://schemas.openxmlformats.org/drawingml/2006/main">
                    <a:graphicData uri="http://schemas.openxmlformats.org/drawingml/2006/picture">
                      <pic:pic xmlns:pic="http://schemas.openxmlformats.org/drawingml/2006/picture">
                        <pic:nvPicPr>
                          <pic:cNvPr id="6685597" name=""/>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Методите за залесяване трябва да включват: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нелесопригодни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земи с висока природна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55"/>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 при бедствия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министерство на вътрешните работи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5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Лесозащитни станции;</w:t>
            </w:r>
          </w:p>
          <w:p>
            <w:pPr>
              <w:numPr>
                <w:ilvl w:val="0"/>
                <w:numId w:val="2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5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58"/>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изграждане/подобряване на водоизточници за борба с пожарите;</w:t>
            </w:r>
          </w:p>
          <w:p>
            <w:pPr>
              <w:numPr>
                <w:ilvl w:val="0"/>
                <w:numId w:val="2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и подобряване на горски пътища;</w:t>
            </w:r>
          </w:p>
          <w:p>
            <w:pPr>
              <w:numPr>
                <w:ilvl w:val="0"/>
                <w:numId w:val="25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5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numPr>
                <w:ilvl w:val="0"/>
                <w:numId w:val="260"/>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6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софтуер;</w:t>
            </w:r>
          </w:p>
          <w:p>
            <w:pPr>
              <w:numPr>
                <w:ilvl w:val="0"/>
                <w:numId w:val="26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6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6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6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6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6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за един ползвател, предоставена по реда на тази наредба, не може да надхвърля левовата равностойност на  1 500 000 евро за периода на действие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4" name=""/>
                  <wp:cNvGraphicFramePr/>
                  <a:graphic xmlns:a="http://schemas.openxmlformats.org/drawingml/2006/main">
                    <a:graphicData uri="http://schemas.openxmlformats.org/drawingml/2006/picture">
                      <pic:pic xmlns:pic="http://schemas.openxmlformats.org/drawingml/2006/picture">
                        <pic:nvPicPr>
                          <pic:cNvPr id="356031382" name=""/>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05" name=""/>
                  <wp:cNvGraphicFramePr/>
                  <a:graphic xmlns:a="http://schemas.openxmlformats.org/drawingml/2006/main">
                    <a:graphicData uri="http://schemas.openxmlformats.org/drawingml/2006/picture">
                      <pic:pic xmlns:pic="http://schemas.openxmlformats.org/drawingml/2006/picture">
                        <pic:nvPicPr>
                          <pic:cNvPr id="1241188276" name=""/>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67275" cy="4419600"/>
                  <wp:docPr id="100006" name=""/>
                  <wp:cNvGraphicFramePr/>
                  <a:graphic xmlns:a="http://schemas.openxmlformats.org/drawingml/2006/main">
                    <a:graphicData uri="http://schemas.openxmlformats.org/drawingml/2006/picture">
                      <pic:pic xmlns:pic="http://schemas.openxmlformats.org/drawingml/2006/picture">
                        <pic:nvPicPr>
                          <pic:cNvPr id="1430940346" name=""/>
                          <pic:cNvPicPr/>
                        </pic:nvPicPr>
                        <pic:blipFill>
                          <a:blip xmlns:r="http://schemas.openxmlformats.org/officeDocument/2006/relationships" r:embed="rId16"/>
                          <a:stretch>
                            <a:fillRect/>
                          </a:stretch>
                        </pic:blipFill>
                        <pic:spPr>
                          <a:xfrm>
                            <a:off x="0" y="0"/>
                            <a:ext cx="4867275" cy="4419600"/>
                          </a:xfrm>
                          <a:prstGeom prst="rect">
                            <a:avLst/>
                          </a:prstGeom>
                        </pic:spPr>
                      </pic:pic>
                    </a:graphicData>
                  </a:graphic>
                </wp:inline>
              </w:drawing>
            </w:r>
          </w:p>
          <w:p>
            <w:pPr>
              <w:pStyle w:val="Footer"/>
              <w:jc w:val="center"/>
              <w:rPr>
                <w:b w:val="0"/>
              </w:rPr>
            </w:pPr>
            <w:r>
              <w:rPr>
                <w:b w:val="0"/>
              </w:rPr>
              <w:t>Figure 3.1</w:t>
            </w:r>
          </w:p>
          <w:p>
            <w:pPr>
              <w:pStyle w:val="Footer"/>
              <w:jc w:val="center"/>
              <w:rPr>
                <w:b w:val="0"/>
              </w:rPr>
            </w:pPr>
            <w:r>
              <w:rPr>
                <w:b w:val="0"/>
              </w:rPr>
              <w:drawing>
                <wp:inline>
                  <wp:extent cx="4762500" cy="6143625"/>
                  <wp:docPr id="100007" name=""/>
                  <wp:cNvGraphicFramePr/>
                  <a:graphic xmlns:a="http://schemas.openxmlformats.org/drawingml/2006/main">
                    <a:graphicData uri="http://schemas.openxmlformats.org/drawingml/2006/picture">
                      <pic:pic xmlns:pic="http://schemas.openxmlformats.org/drawingml/2006/picture">
                        <pic:nvPicPr>
                          <pic:cNvPr id="898035030" name=""/>
                          <pic:cNvPicPr/>
                        </pic:nvPicPr>
                        <pic:blipFill>
                          <a:blip xmlns:r="http://schemas.openxmlformats.org/officeDocument/2006/relationships" r:embed="rId17"/>
                          <a:stretch>
                            <a:fillRect/>
                          </a:stretch>
                        </pic:blipFill>
                        <pic:spPr>
                          <a:xfrm>
                            <a:off x="0" y="0"/>
                            <a:ext cx="4762500" cy="6143625"/>
                          </a:xfrm>
                          <a:prstGeom prst="rect">
                            <a:avLst/>
                          </a:prstGeom>
                        </pic:spPr>
                      </pic:pic>
                    </a:graphicData>
                  </a:graphic>
                </wp:inline>
              </w:drawing>
            </w:r>
          </w:p>
          <w:p>
            <w:pPr>
              <w:pStyle w:val="Footer"/>
              <w:jc w:val="center"/>
              <w:rPr>
                <w:b w:val="0"/>
              </w:rPr>
            </w:pPr>
            <w:r>
              <w:rPr>
                <w:b w:val="0"/>
              </w:rPr>
              <w:t>Figure 3.2</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66"/>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6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6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Материални инвестиции:</w:t>
            </w:r>
          </w:p>
          <w:p>
            <w:pPr>
              <w:numPr>
                <w:ilvl w:val="0"/>
                <w:numId w:val="269"/>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6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Презалесяване на пострадалите гори;</w:t>
            </w:r>
          </w:p>
          <w:p>
            <w:pPr>
              <w:numPr>
                <w:ilvl w:val="0"/>
                <w:numId w:val="26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6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6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на горски култури.</w:t>
            </w:r>
          </w:p>
          <w:p>
            <w:pPr>
              <w:numPr>
                <w:ilvl w:val="0"/>
                <w:numId w:val="27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Нематериални инвестиции:</w:t>
            </w:r>
          </w:p>
          <w:p>
            <w:pPr>
              <w:numPr>
                <w:ilvl w:val="0"/>
                <w:numId w:val="271"/>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7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7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7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7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Попълване на горски култури ще бъде допустимо само ако:</w:t>
            </w:r>
          </w:p>
          <w:p>
            <w:pPr>
              <w:numPr>
                <w:ilvl w:val="0"/>
                <w:numId w:val="27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7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7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7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w:t>
            </w:r>
          </w:p>
          <w:p>
            <w:pPr>
              <w:numPr>
                <w:ilvl w:val="0"/>
                <w:numId w:val="27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1.Болести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а.Трахеомикоза по дъба - Ceratocystis sp.</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б.Рак по цера - Hipoxylon mediterraneum (De Not.) Mill.</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Холандска болест по бряста - Ceratocystis ulmi (Buism)</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Мастилена болест по кестена - Phytophthora sp.</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Съхнене на иглолистни видове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Неприятели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Гъботворка - Lymantria dispar (Linnaeus, 1759)</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Златозадка - Euproctis chrisorrhoea - (Linnaeus, 1758)</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Корояди - Curculionidae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Борова процесионка -Thaumatocampa pityocampa (Denis&amp;Schiffermüller,  1775)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Ръждива борова листна оса- Neodiprion sertifer (Geoffroy, 1785)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8.5. Инвестиции, подобряващи устойчивостта и екологичната стойност на горските екосистеми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78"/>
              </w:numPr>
              <w:rPr>
                <w:b w:val="0"/>
              </w:rPr>
            </w:pPr>
            <w:r>
              <w:rPr>
                <w:b w:val="0"/>
              </w:rPr>
              <w:t>8.5 — подпомагане за инвестиции за подобряване на устойчивостта и екологичната стойност на горските екосистеми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настоящата подмярка включва смекчаване на последиците от и адаптиране към изменението на климата, предоставяне на услугите, предлагани от екосистемите и увеличаване привлекателността на гората или залесената площ за отдих и почивка.  Насочено е  към превръщането на издънковите гори в семенни и превръщане на иглолистните култури на нетипични месторастения в естествени насаждения.  Тези дейности ще допринесат до устойчивост, дълговечност и подобряване на всички екологични покзатели на гората, както и нейната привлекателност.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Изменението на климата и горското стопанство са неразривно свързани. От една страна, промените в глобалния климат вече стресират горите чрез по-високи средни годишни температури, променена структурата на валежите, и по-честите и екстремни метеорологични явления. В същото време, горите имат множество защитни функции. Те осигуряват защита срещу ерозията на почвата и опустиняването, помагат за регулиране на хидроложкия цикъл и техните екосистеми са важен източник на биологично разнообразие.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предпазят земеделските земи от ерозия и получаване на влагозадържащ ефект преди повече от 70 години са създадени полезащитните пояси в Северна България. Изградени са върху земеделски земи, но с течение на времето и тъй като са отговаряли на определението за гора, са били присъединени към държавния горски фонд и е започнало стопанисването им като гора. В този смисъл, възстановяването и поддържането на полезащитните пояси освен типичния за горите ефект ще имат осезаем ефект и върху съседните им земеделски земи, като ги защитават от ерозия, осигуряват по-добър воден баланс, а по този начин се постигат и по-високи и по-качествени добиви.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Целта на мярката е подпомаганена непроизводствени горски инвестиции.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нормативни актове.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собственици/стопанисващи горски територии;</w:t>
            </w:r>
          </w:p>
          <w:p>
            <w:pPr>
              <w:numPr>
                <w:ilvl w:val="0"/>
                <w:numId w:val="27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 лица, стопанисващи горски територии;</w:t>
            </w:r>
          </w:p>
          <w:p>
            <w:pPr>
              <w:numPr>
                <w:ilvl w:val="0"/>
                <w:numId w:val="27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281"/>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увеличаване на привлекателността на гората и залесената площ за отдих и почивка в съответния район, в т.ч.:</w:t>
            </w:r>
          </w:p>
          <w:p>
            <w:pPr>
              <w:numPr>
                <w:ilvl w:val="0"/>
                <w:numId w:val="28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дребномащабна туристическа инфраструктура - пешеходни пътеки,  съоръжения за отдих, указателни табели, информационни табла, заслони и наблюдателни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подобряване на потенциала на екосистемите за смекчаване на последиците от изменението на климата, без да се изключват икономическите ползи в дългосрочен план, в т.ч.:</w:t>
            </w:r>
          </w:p>
          <w:p>
            <w:pPr>
              <w:numPr>
                <w:ilvl w:val="0"/>
                <w:numId w:val="28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издънкови гори в смесени високостъблени гори;</w:t>
            </w:r>
          </w:p>
          <w:p>
            <w:pPr>
              <w:numPr>
                <w:ilvl w:val="0"/>
                <w:numId w:val="2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изкуствени гори в смесени високостъблени гори за увеличаване на превръщане на иглолистните култури на нетипични месторастения в естествени насаждения;</w:t>
            </w:r>
          </w:p>
          <w:p>
            <w:pPr>
              <w:numPr>
                <w:ilvl w:val="0"/>
                <w:numId w:val="2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възстановяване и поддръжка на полезащитни пояси;</w:t>
            </w:r>
          </w:p>
          <w:p>
            <w:pPr>
              <w:numPr>
                <w:ilvl w:val="0"/>
                <w:numId w:val="28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презалесяване. </w:t>
            </w:r>
          </w:p>
          <w:p>
            <w:pPr>
              <w:numPr>
                <w:ilvl w:val="0"/>
                <w:numId w:val="284"/>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8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numPr>
                <w:ilvl w:val="0"/>
                <w:numId w:val="286"/>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8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софтуер;</w:t>
            </w:r>
          </w:p>
          <w:p>
            <w:pPr>
              <w:numPr>
                <w:ilvl w:val="0"/>
                <w:numId w:val="286"/>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въвеждане на добри производствени практики, системи за управление на качеството и подготовка за сертификация в предприятията;</w:t>
            </w:r>
          </w:p>
          <w:p>
            <w:pPr>
              <w:numPr>
                <w:ilvl w:val="0"/>
                <w:numId w:val="286"/>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изработване на планове за управление на горите или на равностоен инструмент.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8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кандидати трябва да докажат собственост върху горската територия или правото си да я стопанисват;</w:t>
            </w:r>
          </w:p>
          <w:p>
            <w:pPr>
              <w:numPr>
                <w:ilvl w:val="0"/>
                <w:numId w:val="2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на горската територия, с която кандидатстват за подпомагане, трябва да бъде както следва:</w:t>
            </w:r>
          </w:p>
          <w:p>
            <w:pPr>
              <w:numPr>
                <w:ilvl w:val="0"/>
                <w:numId w:val="28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0.5 ха за физически и юридически лица и местни поделения на вероизповеданията, собственици на горски територии;</w:t>
            </w:r>
          </w:p>
          <w:p>
            <w:pPr>
              <w:numPr>
                <w:ilvl w:val="0"/>
                <w:numId w:val="2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общини, собственици/стопанисващи горски територии;</w:t>
            </w:r>
          </w:p>
          <w:p>
            <w:pPr>
              <w:numPr>
                <w:ilvl w:val="0"/>
                <w:numId w:val="2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юридически лица, стопанисващи държавни горски територии;</w:t>
            </w:r>
          </w:p>
          <w:p>
            <w:pPr>
              <w:numPr>
                <w:ilvl w:val="0"/>
                <w:numId w:val="28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ха за юридически лица, наематели на горски територии.</w:t>
            </w:r>
          </w:p>
          <w:p>
            <w:pPr>
              <w:numPr>
                <w:ilvl w:val="0"/>
                <w:numId w:val="29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дребномащабна туристическа инфраструктура</w:t>
            </w:r>
          </w:p>
          <w:p>
            <w:pPr>
              <w:numPr>
                <w:ilvl w:val="0"/>
                <w:numId w:val="2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бъде допустимо само за еднократни за периода на действие на Програмата дейности в горите;</w:t>
            </w:r>
          </w:p>
          <w:p>
            <w:pPr>
              <w:numPr>
                <w:ilvl w:val="0"/>
                <w:numId w:val="2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29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разходи, разходи за поддръжка и годишни плащания не са допустими за подпомагане.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29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9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монокултури;</w:t>
            </w:r>
          </w:p>
          <w:p>
            <w:pPr>
              <w:numPr>
                <w:ilvl w:val="0"/>
                <w:numId w:val="29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състояние на полезащитните пояси, като приоритет ще се дава на тези в лошо и задоволително състояние.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2 500 000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2 000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Прилагане на правилата за обществени поръчки;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94"/>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 собственици на горски територии;</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МСП;</w:t>
            </w:r>
          </w:p>
          <w:p>
            <w:pPr>
              <w:numPr>
                <w:ilvl w:val="0"/>
                <w:numId w:val="29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Материални инвестиции:</w:t>
            </w:r>
          </w:p>
          <w:p>
            <w:pPr>
              <w:numPr>
                <w:ilvl w:val="0"/>
                <w:numId w:val="297"/>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29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Нематериални инвестиции:</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3.Закупуване на софтуер;</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29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от ЕЗФРСР е 85%.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Развитие на електронни услуги за бенефициенти;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Условия за допустимост и критерий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NACE Rev. 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302"/>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Сушене и импрегниране на дървен материал;</w:t>
            </w:r>
          </w:p>
          <w:p>
            <w:pPr>
              <w:numPr>
                <w:ilvl w:val="0"/>
                <w:numId w:val="30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Недопустими разходи </w:t>
            </w:r>
            <w:r>
              <w:rPr>
                <w:rStyle w:val="DefaultParagraphFont"/>
                <w:rFonts w:ascii="Times New Roman" w:eastAsia="Times New Roman" w:hAnsi="Times New Roman" w:cs="Times New Roman"/>
                <w:b/>
                <w:bCs/>
                <w:szCs w:val="24"/>
              </w:rPr>
              <w:t>са:</w:t>
            </w:r>
          </w:p>
          <w:p>
            <w:pPr>
              <w:numPr>
                <w:ilvl w:val="0"/>
                <w:numId w:val="30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обикновена подмяна и поддръжка;</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Закупуване на оборудване втора ръка;</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 в натура;</w:t>
            </w:r>
          </w:p>
          <w:p>
            <w:pPr>
              <w:numPr>
                <w:ilvl w:val="0"/>
                <w:numId w:val="30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M09 — Създаване на групи и организации на производителите (член 27)</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на мярката към междусекторните цели и приоритетни области</w:t>
            </w:r>
            <w:r>
              <w:rPr>
                <w:rStyle w:val="DefaultParagraphFont"/>
                <w:rFonts w:ascii="Times New Roman" w:eastAsia="Times New Roman" w:hAnsi="Times New Roman" w:cs="Times New Roman"/>
                <w:szCs w:val="24"/>
              </w:rPr>
              <w:t>3A</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Изменение на климата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Опазване на околната среда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Целите на мярката са: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групата да има минимум четири членове;</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организацията да има минимум шест члена;</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 разработен бизнес план за период от 5 години;</w:t>
            </w:r>
          </w:p>
          <w:p>
            <w:pPr>
              <w:numPr>
                <w:ilvl w:val="0"/>
                <w:numId w:val="30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изработи учредителен акт</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Допустими сектори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Зърнено-житни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Медицински и етерично-маслени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Зърнено-бобови култури;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Технически култури, с изключение на тютюн;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Картофи;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Мляко;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Месо;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Мед;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Биологично произведени продукти;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Винено грозде;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Яйца;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Плодове;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Зеленчуци.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Бизнес планът трябва да включва поне: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резюме на плана;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„Животновъдство”</w:t>
            </w:r>
          </w:p>
          <w:p>
            <w:pPr>
              <w:numPr>
                <w:ilvl w:val="0"/>
                <w:numId w:val="3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които се изпълняват в сектор „Плодове и зеленчуци”</w:t>
            </w:r>
          </w:p>
          <w:p>
            <w:pPr>
              <w:numPr>
                <w:ilvl w:val="0"/>
                <w:numId w:val="3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одобряване на необосновано високи разходи;</w:t>
            </w:r>
          </w:p>
          <w:p>
            <w:pPr>
              <w:numPr>
                <w:ilvl w:val="0"/>
                <w:numId w:val="3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0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и храните в съответствие с приложимите национални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производители подават в Министерство на земеделието и храните заявления за признаване.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и храните,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одобряване на необосновано високи разходи;</w:t>
            </w:r>
          </w:p>
          <w:p>
            <w:pPr>
              <w:numPr>
                <w:ilvl w:val="0"/>
                <w:numId w:val="31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и храните в съответствие с приложимите национални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Групите производители подават в Министерство на земеделието и храните заявления за признаване.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и храните,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Първи стълб на ОСП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Преходни договорености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M10 — Агроекология и климат (член 28)</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цели на мярката са следните:</w:t>
            </w:r>
          </w:p>
          <w:p>
            <w:pPr>
              <w:numPr>
                <w:ilvl w:val="0"/>
                <w:numId w:val="31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почвеното плодородие.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1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Изисквания за поддържане чрез паша:</w:t>
            </w:r>
          </w:p>
          <w:p>
            <w:pPr>
              <w:numPr>
                <w:ilvl w:val="0"/>
                <w:numId w:val="31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Изисквания за поддържане чрез косене:</w:t>
            </w:r>
          </w:p>
          <w:p>
            <w:pPr>
              <w:numPr>
                <w:ilvl w:val="0"/>
                <w:numId w:val="31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изграждането на нови отводнителни системи.</w:t>
            </w:r>
          </w:p>
          <w:p>
            <w:pPr>
              <w:numPr>
                <w:ilvl w:val="0"/>
                <w:numId w:val="3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1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0,5 ха.</w:t>
            </w:r>
          </w:p>
          <w:p>
            <w:pPr>
              <w:numPr>
                <w:ilvl w:val="0"/>
                <w:numId w:val="3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2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2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поддържане чрез паша: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поддържане с косене: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2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0,3 ха.</w:t>
            </w:r>
          </w:p>
          <w:p>
            <w:pPr>
              <w:numPr>
                <w:ilvl w:val="0"/>
                <w:numId w:val="3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w:t>
            </w:r>
          </w:p>
          <w:p>
            <w:pPr>
              <w:numPr>
                <w:ilvl w:val="0"/>
                <w:numId w:val="3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Направление „</w:t>
            </w:r>
            <w:r>
              <w:rPr>
                <w:rStyle w:val="DefaultParagraphFont"/>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Style w:val="DefaultParagraphFont"/>
                <w:rFonts w:ascii="Times New Roman" w:eastAsia="Times New Roman" w:hAnsi="Times New Roman" w:cs="Times New Roman"/>
                <w:b/>
                <w:bCs/>
                <w:szCs w:val="24"/>
              </w:rPr>
              <w:t>”</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2.1</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2.3. Забрани за НАТУРА зона за птиците</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управление 2.1</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3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3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3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мероприятия в лозя и трайни насаждения:</w:t>
            </w:r>
          </w:p>
          <w:p>
            <w:pPr>
              <w:numPr>
                <w:ilvl w:val="0"/>
                <w:numId w:val="339"/>
              </w:numPr>
              <w:spacing w:before="240" w:after="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39"/>
              </w:numPr>
              <w:spacing w:before="0" w:after="24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4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мероприятие в обработваеми земи:</w:t>
            </w:r>
          </w:p>
          <w:p>
            <w:pPr>
              <w:numPr>
                <w:ilvl w:val="0"/>
                <w:numId w:val="341"/>
              </w:numPr>
              <w:spacing w:before="240" w:after="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41"/>
              </w:numPr>
              <w:spacing w:before="0" w:after="240"/>
              <w:ind w:left="720" w:hanging="2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Минималната площ за участие в мярката е 0,5 ха.</w:t>
            </w:r>
          </w:p>
          <w:p>
            <w:pPr>
              <w:numPr>
                <w:ilvl w:val="0"/>
                <w:numId w:val="3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4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 земеделски земи в постоянно затревени площи – 315 евро/ха;</w:t>
            </w:r>
          </w:p>
          <w:p>
            <w:pPr>
              <w:numPr>
                <w:ilvl w:val="0"/>
                <w:numId w:val="34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4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създаване и поддържане на буферни ивици- 40 евро/ха;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измерване на площите.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4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5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5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5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5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Допълнителни изисквания за управление са:</w:t>
            </w:r>
          </w:p>
          <w:p>
            <w:pPr>
              <w:numPr>
                <w:ilvl w:val="0"/>
                <w:numId w:val="36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6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едър рогат добитък и биволи –  200 евро/животинска единица (ЖЕ);</w:t>
            </w:r>
          </w:p>
          <w:p>
            <w:pPr>
              <w:numPr>
                <w:ilvl w:val="0"/>
                <w:numId w:val="3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 145 евро/ЖЕ;</w:t>
            </w:r>
          </w:p>
          <w:p>
            <w:pPr>
              <w:numPr>
                <w:ilvl w:val="0"/>
                <w:numId w:val="36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свине - 122 евро/ЖЕ;</w:t>
            </w:r>
          </w:p>
          <w:p>
            <w:pPr>
              <w:numPr>
                <w:ilvl w:val="0"/>
                <w:numId w:val="36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коне – 143 евро/ЖЕ;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6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-Зеленчуци  - около 6000 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 около 150 ха;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видове култури – няма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Минимален размер за участие в дейността е 0,1 ха.</w:t>
            </w:r>
          </w:p>
          <w:p>
            <w:pPr>
              <w:numPr>
                <w:ilvl w:val="0"/>
                <w:numId w:val="36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–223,95 евро/ха;</w:t>
            </w:r>
          </w:p>
          <w:p>
            <w:pPr>
              <w:numPr>
                <w:ilvl w:val="0"/>
                <w:numId w:val="3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–787,39 евро/ха;</w:t>
            </w:r>
          </w:p>
          <w:p>
            <w:pPr>
              <w:numPr>
                <w:ilvl w:val="0"/>
                <w:numId w:val="36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Зеленчуци - 429,48 евро/ха;</w:t>
            </w:r>
          </w:p>
          <w:p>
            <w:pPr>
              <w:numPr>
                <w:ilvl w:val="0"/>
                <w:numId w:val="36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70"/>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7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7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7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са регистрирани в ИСАК</w:t>
            </w:r>
          </w:p>
          <w:p>
            <w:pPr>
              <w:numPr>
                <w:ilvl w:val="0"/>
                <w:numId w:val="37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едно местоположение се разполагат до 50 пчелни семейства</w:t>
            </w:r>
          </w:p>
          <w:p>
            <w:pPr>
              <w:numPr>
                <w:ilvl w:val="0"/>
                <w:numId w:val="37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7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 проверка на място: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37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 аграрни доклади на МЗХ,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1. За направление </w:t>
            </w:r>
            <w:r>
              <w:rPr>
                <w:rStyle w:val="DefaultParagraphFont"/>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При дейност </w:t>
            </w:r>
            <w:r>
              <w:rPr>
                <w:rStyle w:val="DefaultParagraphFont"/>
                <w:rFonts w:ascii="Times New Roman" w:eastAsia="Times New Roman" w:hAnsi="Times New Roman" w:cs="Times New Roman"/>
                <w:b/>
                <w:bCs/>
                <w:szCs w:val="24"/>
              </w:rPr>
              <w:t>поддържане на затревени площи с висока природна стойност</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чрез паша</w:t>
            </w:r>
            <w:r>
              <w:rPr>
                <w:rStyle w:val="DefaultParagraphFont"/>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w:t>
            </w:r>
            <w:r>
              <w:rPr>
                <w:rStyle w:val="DefaultParagraphFont"/>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Style w:val="DefaultParagraphFont"/>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2.  За  направленията, включени в </w:t>
            </w:r>
            <w:r>
              <w:rPr>
                <w:rStyle w:val="DefaultParagraphFont"/>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Style w:val="DefaultParagraphFont"/>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8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8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3. Направление </w:t>
            </w:r>
            <w:r>
              <w:rPr>
                <w:rStyle w:val="DefaultParagraphFont"/>
                <w:rFonts w:ascii="Times New Roman" w:eastAsia="Times New Roman" w:hAnsi="Times New Roman" w:cs="Times New Roman"/>
                <w:szCs w:val="24"/>
                <w:u w:val="single"/>
              </w:rPr>
              <w:t>10.1.3 Контрол на почвената ерозия</w:t>
            </w:r>
          </w:p>
          <w:p>
            <w:pPr>
              <w:numPr>
                <w:ilvl w:val="0"/>
                <w:numId w:val="38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8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Style w:val="DefaultParagraphFont"/>
                <w:rFonts w:ascii="Times New Roman" w:eastAsia="Times New Roman" w:hAnsi="Times New Roman" w:cs="Times New Roman"/>
                <w:b/>
                <w:bCs/>
                <w:szCs w:val="24"/>
              </w:rPr>
              <w:t>.</w:t>
            </w:r>
            <w:r>
              <w:rPr>
                <w:rStyle w:val="DefaultParagraphFont"/>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8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4. Направление </w:t>
            </w:r>
            <w:r>
              <w:rPr>
                <w:rStyle w:val="DefaultParagraphFont"/>
                <w:rFonts w:ascii="Times New Roman" w:eastAsia="Times New Roman" w:hAnsi="Times New Roman" w:cs="Times New Roman"/>
                <w:szCs w:val="24"/>
                <w:u w:val="single"/>
              </w:rPr>
              <w:t>10.1.4. Традиционни практики за сезонна паша (пасторализъм)</w:t>
            </w:r>
          </w:p>
          <w:p>
            <w:pPr>
              <w:numPr>
                <w:ilvl w:val="0"/>
                <w:numId w:val="38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Style w:val="DefaultParagraphFont"/>
                <w:rFonts w:ascii="Times New Roman" w:eastAsia="Times New Roman" w:hAnsi="Times New Roman" w:cs="Times New Roman"/>
                <w:b/>
                <w:bCs/>
                <w:szCs w:val="24"/>
              </w:rPr>
              <w:t xml:space="preserve">допълнителни разходи </w:t>
            </w:r>
            <w:r>
              <w:rPr>
                <w:rStyle w:val="DefaultParagraphFont"/>
                <w:rFonts w:ascii="Times New Roman" w:eastAsia="Times New Roman" w:hAnsi="Times New Roman" w:cs="Times New Roman"/>
                <w:szCs w:val="24"/>
              </w:rPr>
              <w:t>за 5 месеца паша при 1ЖЕ/ха.</w:t>
            </w:r>
          </w:p>
          <w:p>
            <w:pPr>
              <w:numPr>
                <w:ilvl w:val="0"/>
                <w:numId w:val="38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Style w:val="DefaultParagraphFont"/>
                <w:rFonts w:ascii="Times New Roman" w:eastAsia="Times New Roman" w:hAnsi="Times New Roman" w:cs="Times New Roman"/>
                <w:b/>
                <w:bCs/>
                <w:szCs w:val="24"/>
              </w:rPr>
              <w:t xml:space="preserve">допълнителни разходи </w:t>
            </w:r>
            <w:r>
              <w:rPr>
                <w:rStyle w:val="DefaultParagraphFont"/>
                <w:rFonts w:ascii="Times New Roman" w:eastAsia="Times New Roman" w:hAnsi="Times New Roman" w:cs="Times New Roman"/>
                <w:szCs w:val="24"/>
              </w:rPr>
              <w:t xml:space="preserve">за 5 месеца паша при 1ЖЕ/ха и </w:t>
            </w:r>
            <w:r>
              <w:rPr>
                <w:rStyle w:val="DefaultParagraphFont"/>
                <w:rFonts w:ascii="Times New Roman" w:eastAsia="Times New Roman" w:hAnsi="Times New Roman" w:cs="Times New Roman"/>
                <w:b/>
                <w:bCs/>
                <w:szCs w:val="24"/>
              </w:rPr>
              <w:t>допълнителни разходи</w:t>
            </w:r>
            <w:r>
              <w:rPr>
                <w:rStyle w:val="DefaultParagraphFont"/>
                <w:rFonts w:ascii="Times New Roman" w:eastAsia="Times New Roman" w:hAnsi="Times New Roman" w:cs="Times New Roman"/>
                <w:szCs w:val="24"/>
              </w:rPr>
              <w:t xml:space="preserve"> за две работни кучета.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5. Направление </w:t>
            </w:r>
            <w:r>
              <w:rPr>
                <w:rStyle w:val="DefaultParagraphFont"/>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Style w:val="DefaultParagraphFont"/>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6. Направление </w:t>
            </w:r>
            <w:r>
              <w:rPr>
                <w:rStyle w:val="DefaultParagraphFont"/>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Направление </w:t>
            </w:r>
            <w:r>
              <w:rPr>
                <w:rStyle w:val="DefaultParagraphFont"/>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стари</w:t>
            </w:r>
            <w:r>
              <w:rPr>
                <w:rStyle w:val="DefaultParagraphFont"/>
                <w:rFonts w:ascii="Times New Roman" w:eastAsia="Times New Roman" w:hAnsi="Times New Roman" w:cs="Times New Roman"/>
                <w:b/>
                <w:bCs/>
                <w:i/>
                <w:iCs/>
                <w:szCs w:val="24"/>
              </w:rPr>
              <w:t xml:space="preserve"> задължения</w:t>
            </w:r>
            <w:r>
              <w:rPr>
                <w:rStyle w:val="DefaultParagraphFont"/>
                <w:rFonts w:ascii="Times New Roman" w:eastAsia="Times New Roman" w:hAnsi="Times New Roman" w:cs="Times New Roman"/>
                <w:b/>
                <w:bCs/>
                <w:i/>
                <w:iCs/>
                <w:szCs w:val="24"/>
              </w:rPr>
              <w:t xml:space="preserve"> поети</w:t>
            </w:r>
            <w:r>
              <w:rPr>
                <w:rStyle w:val="DefaultParagraphFont"/>
                <w:rFonts w:ascii="Times New Roman" w:eastAsia="Times New Roman" w:hAnsi="Times New Roman" w:cs="Times New Roman"/>
                <w:b/>
                <w:bCs/>
                <w:i/>
                <w:iCs/>
                <w:szCs w:val="24"/>
              </w:rPr>
              <w:t xml:space="preserve"> по</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Комбиниране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дейности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мярката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други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мерки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подмерки</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b/>
                <w:bCs/>
                <w:szCs w:val="24"/>
              </w:rPr>
              <w:t>чиито</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плащания</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единица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площ</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или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на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животинска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единица</w:t>
            </w:r>
            <w:r>
              <w:rPr>
                <w:rStyle w:val="DefaultParagraphFont"/>
                <w:rFonts w:ascii="Times New Roman" w:eastAsia="Times New Roman" w:hAnsi="Times New Roman" w:cs="Times New Roman"/>
                <w:b/>
                <w:bCs/>
                <w:szCs w:val="24"/>
              </w:rPr>
              <w:t>:</w:t>
            </w:r>
          </w:p>
          <w:p>
            <w:pPr>
              <w:numPr>
                <w:ilvl w:val="0"/>
                <w:numId w:val="38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М11 — Биологично земеделие (член 29)</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тази мярка ще се изпълняват две подмерки:</w:t>
            </w:r>
          </w:p>
          <w:p>
            <w:pPr>
              <w:numPr>
                <w:ilvl w:val="0"/>
                <w:numId w:val="38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87"/>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Style w:val="DefaultParagraphFont"/>
                <w:rFonts w:ascii="Times New Roman" w:eastAsia="Times New Roman" w:hAnsi="Times New Roman" w:cs="Times New Roman"/>
                <w:i/>
                <w:iCs/>
                <w:szCs w:val="24"/>
              </w:rPr>
              <w:t>Преходният период</w:t>
            </w:r>
            <w:r>
              <w:rPr>
                <w:rStyle w:val="DefaultParagraphFont"/>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3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тази мярка трябва да:</w:t>
            </w:r>
          </w:p>
          <w:p>
            <w:pPr>
              <w:numPr>
                <w:ilvl w:val="0"/>
                <w:numId w:val="39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и храните,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поддържат дневник на стопанството;</w:t>
            </w:r>
          </w:p>
          <w:p>
            <w:pPr>
              <w:numPr>
                <w:ilvl w:val="0"/>
                <w:numId w:val="3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9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9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9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9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9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следните:</w:t>
            </w:r>
          </w:p>
          <w:p>
            <w:pPr>
              <w:numPr>
                <w:ilvl w:val="0"/>
                <w:numId w:val="39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включително фуражни - 284 Евро/ха;</w:t>
            </w:r>
          </w:p>
          <w:p>
            <w:pPr>
              <w:numPr>
                <w:ilvl w:val="0"/>
                <w:numId w:val="3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постоянно затревени площи – 128 Евро/ха;</w:t>
            </w:r>
          </w:p>
          <w:p>
            <w:pPr>
              <w:numPr>
                <w:ilvl w:val="0"/>
                <w:numId w:val="3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овощни култури и лозя – 736 Евро/ха;</w:t>
            </w:r>
          </w:p>
          <w:p>
            <w:pPr>
              <w:numPr>
                <w:ilvl w:val="0"/>
                <w:numId w:val="3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ароматни и медицински растения – 515 Евро/ха;</w:t>
            </w:r>
          </w:p>
          <w:p>
            <w:pPr>
              <w:numPr>
                <w:ilvl w:val="0"/>
                <w:numId w:val="3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зеленчукови култури – 575 Евро/ха;</w:t>
            </w:r>
          </w:p>
          <w:p>
            <w:pPr>
              <w:numPr>
                <w:ilvl w:val="0"/>
                <w:numId w:val="39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дребни преживни животни (овце-майки и  кози- майки), отглеждани за комбинирано производство (мляко 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7"/>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a.       </w:t>
            </w:r>
            <w:r>
              <w:rPr>
                <w:rStyle w:val="DefaultParagraphFont"/>
                <w:rFonts w:ascii="Times New Roman" w:eastAsia="Times New Roman" w:hAnsi="Times New Roman" w:cs="Times New Roman"/>
                <w:szCs w:val="24"/>
                <w:u w:val="single"/>
              </w:rPr>
              <w:t>Обработваеми земи</w:t>
            </w:r>
          </w:p>
          <w:p>
            <w:pPr>
              <w:numPr>
                <w:ilvl w:val="0"/>
                <w:numId w:val="39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b.      </w:t>
            </w:r>
            <w:r>
              <w:rPr>
                <w:rStyle w:val="DefaultParagraphFont"/>
                <w:rFonts w:ascii="Times New Roman" w:eastAsia="Times New Roman" w:hAnsi="Times New Roman" w:cs="Times New Roman"/>
                <w:szCs w:val="24"/>
                <w:u w:val="single"/>
              </w:rPr>
              <w:t xml:space="preserve"> Трайни насаждения </w:t>
            </w:r>
          </w:p>
          <w:p>
            <w:pPr>
              <w:numPr>
                <w:ilvl w:val="0"/>
                <w:numId w:val="39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c.       </w:t>
            </w:r>
            <w:r>
              <w:rPr>
                <w:rStyle w:val="DefaultParagraphFont"/>
                <w:rFonts w:ascii="Times New Roman" w:eastAsia="Times New Roman" w:hAnsi="Times New Roman" w:cs="Times New Roman"/>
                <w:szCs w:val="24"/>
                <w:u w:val="single"/>
              </w:rPr>
              <w:t>Постоянно затревени площи</w:t>
            </w:r>
          </w:p>
          <w:p>
            <w:pPr>
              <w:numPr>
                <w:ilvl w:val="0"/>
                <w:numId w:val="40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0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2"/>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w:t>
            </w:r>
            <w:r>
              <w:rPr>
                <w:rStyle w:val="DefaultParagraphFont"/>
                <w:rFonts w:ascii="Times New Roman" w:eastAsia="Times New Roman" w:hAnsi="Times New Roman" w:cs="Times New Roman"/>
                <w:b/>
                <w:bCs/>
                <w:szCs w:val="24"/>
              </w:rPr>
              <w:t>иологично пчеларство</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3"/>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Преминаване към б</w:t>
            </w:r>
            <w:r>
              <w:rPr>
                <w:rStyle w:val="DefaultParagraphFont"/>
                <w:rFonts w:ascii="Times New Roman" w:eastAsia="Times New Roman" w:hAnsi="Times New Roman" w:cs="Times New Roman"/>
                <w:b/>
                <w:bCs/>
                <w:szCs w:val="24"/>
              </w:rPr>
              <w:t>иологично животновъдство</w:t>
            </w:r>
          </w:p>
          <w:p>
            <w:pPr>
              <w:numPr>
                <w:ilvl w:val="0"/>
                <w:numId w:val="40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05"/>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w:t>
            </w:r>
          </w:p>
          <w:p>
            <w:pPr>
              <w:numPr>
                <w:ilvl w:val="0"/>
                <w:numId w:val="4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по тази мярка, трябва да:</w:t>
            </w:r>
          </w:p>
          <w:p>
            <w:pPr>
              <w:numPr>
                <w:ilvl w:val="0"/>
                <w:numId w:val="41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и храните,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поддържат дневник на стопанството;</w:t>
            </w:r>
          </w:p>
          <w:p>
            <w:pPr>
              <w:numPr>
                <w:ilvl w:val="0"/>
                <w:numId w:val="4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фуражи, ливади и пасища в съотношение от 1 ЖЕ на 1 ха.</w:t>
            </w:r>
          </w:p>
          <w:p>
            <w:pPr>
              <w:numPr>
                <w:ilvl w:val="0"/>
                <w:numId w:val="4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1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1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следните:</w:t>
            </w:r>
          </w:p>
          <w:p>
            <w:pPr>
              <w:numPr>
                <w:ilvl w:val="0"/>
                <w:numId w:val="41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полски култури, включително фуражни -  168 Евро/ха;</w:t>
            </w:r>
          </w:p>
          <w:p>
            <w:pPr>
              <w:numPr>
                <w:ilvl w:val="0"/>
                <w:numId w:val="4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постоянно затревени площи –112 Евро/ха;</w:t>
            </w:r>
          </w:p>
          <w:p>
            <w:pPr>
              <w:numPr>
                <w:ilvl w:val="0"/>
                <w:numId w:val="4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трайни насаждения, овощни култури и лозя –557 Евро/ха;</w:t>
            </w:r>
          </w:p>
          <w:p>
            <w:pPr>
              <w:numPr>
                <w:ilvl w:val="0"/>
                <w:numId w:val="4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ароматни и медицински растения – 405 Евро/ха;</w:t>
            </w:r>
          </w:p>
          <w:p>
            <w:pPr>
              <w:numPr>
                <w:ilvl w:val="0"/>
                <w:numId w:val="41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зеленчукови култури – 399 Евро/ха;</w:t>
            </w:r>
          </w:p>
          <w:p>
            <w:pPr>
              <w:numPr>
                <w:ilvl w:val="0"/>
                <w:numId w:val="41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пчелно семейство -  25 Евро/пчелно семейство;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Style w:val="DefaultParagraphFont"/>
                <w:rFonts w:ascii="Times New Roman" w:eastAsia="Times New Roman" w:hAnsi="Times New Roman" w:cs="Times New Roman"/>
                <w:b/>
                <w:bCs/>
                <w:szCs w:val="24"/>
              </w:rPr>
              <w:t>:</w:t>
            </w:r>
          </w:p>
          <w:p>
            <w:pPr>
              <w:numPr>
                <w:ilvl w:val="0"/>
                <w:numId w:val="41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41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дребни преживни животни (овце-майки и  кози-майки), отглеждани за комбинирано производство (мляко 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8"/>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растениевъдство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a.       </w:t>
            </w:r>
            <w:r>
              <w:rPr>
                <w:rStyle w:val="DefaultParagraphFont"/>
                <w:rFonts w:ascii="Times New Roman" w:eastAsia="Times New Roman" w:hAnsi="Times New Roman" w:cs="Times New Roman"/>
                <w:szCs w:val="24"/>
                <w:u w:val="single"/>
              </w:rPr>
              <w:t>Обработваеми земи</w:t>
            </w:r>
          </w:p>
          <w:p>
            <w:pPr>
              <w:numPr>
                <w:ilvl w:val="0"/>
                <w:numId w:val="41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b.      </w:t>
            </w:r>
            <w:r>
              <w:rPr>
                <w:rStyle w:val="DefaultParagraphFont"/>
                <w:rFonts w:ascii="Times New Roman" w:eastAsia="Times New Roman" w:hAnsi="Times New Roman" w:cs="Times New Roman"/>
                <w:szCs w:val="24"/>
                <w:u w:val="single"/>
              </w:rPr>
              <w:t xml:space="preserve"> Трайни насаждения </w:t>
            </w:r>
          </w:p>
          <w:p>
            <w:pPr>
              <w:numPr>
                <w:ilvl w:val="0"/>
                <w:numId w:val="42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c.       </w:t>
            </w:r>
            <w:r>
              <w:rPr>
                <w:rStyle w:val="DefaultParagraphFont"/>
                <w:rFonts w:ascii="Times New Roman" w:eastAsia="Times New Roman" w:hAnsi="Times New Roman" w:cs="Times New Roman"/>
                <w:szCs w:val="24"/>
                <w:u w:val="single"/>
              </w:rPr>
              <w:t>Постоянно затревени площи</w:t>
            </w:r>
          </w:p>
          <w:p>
            <w:pPr>
              <w:numPr>
                <w:ilvl w:val="0"/>
                <w:numId w:val="42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3"/>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пчеларство</w:t>
            </w:r>
          </w:p>
          <w:p>
            <w:pPr>
              <w:numPr>
                <w:ilvl w:val="0"/>
                <w:numId w:val="42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5"/>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Биологично животновъдство</w:t>
            </w:r>
          </w:p>
          <w:p>
            <w:pPr>
              <w:numPr>
                <w:ilvl w:val="0"/>
                <w:numId w:val="42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3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Размерът на компенсаторното плащане при </w:t>
            </w:r>
            <w:r>
              <w:rPr>
                <w:rStyle w:val="DefaultParagraphFont"/>
                <w:rFonts w:ascii="Times New Roman" w:eastAsia="Times New Roman" w:hAnsi="Times New Roman" w:cs="Times New Roman"/>
                <w:b/>
                <w:bCs/>
                <w:i/>
                <w:iCs/>
                <w:szCs w:val="24"/>
              </w:rPr>
              <w:t>биологично растениевъдство</w:t>
            </w: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Полски (фуражи);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 овощни култури и лозя;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Ароматни и медицински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Зеленчукови култури от открити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Пропуснатите приходи са резултат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Допълнителните разходи са 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контрол и сертифициране;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по-скъпи лекарства и дезинфектанти.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 Цените на труда, суровините и материалите са определени на базата на данни от НСИ, САПИ и МЗХ от последните три години (2011,2012 и 2013 г.). Цените на живия труд са диференцирани на нива ръчен и механизиран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b/>
                <w:bCs/>
                <w:szCs w:val="24"/>
              </w:rPr>
              <w:t xml:space="preserve"> „Биологично земеделие” на ПРСР 2014-2020</w:t>
            </w:r>
            <w:r>
              <w:rPr>
                <w:rStyle w:val="DefaultParagraphFont"/>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стари</w:t>
            </w:r>
            <w:r>
              <w:rPr>
                <w:rStyle w:val="DefaultParagraphFont"/>
                <w:rFonts w:ascii="Times New Roman" w:eastAsia="Times New Roman" w:hAnsi="Times New Roman" w:cs="Times New Roman"/>
                <w:b/>
                <w:bCs/>
                <w:i/>
                <w:iCs/>
                <w:szCs w:val="24"/>
              </w:rPr>
              <w:t xml:space="preserve"> задължения</w:t>
            </w:r>
            <w:r>
              <w:rPr>
                <w:rStyle w:val="DefaultParagraphFont"/>
                <w:rFonts w:ascii="Times New Roman" w:eastAsia="Times New Roman" w:hAnsi="Times New Roman" w:cs="Times New Roman"/>
                <w:b/>
                <w:bCs/>
                <w:i/>
                <w:iCs/>
                <w:szCs w:val="24"/>
              </w:rPr>
              <w:t xml:space="preserve"> поети</w:t>
            </w:r>
            <w:r>
              <w:rPr>
                <w:rStyle w:val="DefaultParagraphFont"/>
                <w:rFonts w:ascii="Times New Roman" w:eastAsia="Times New Roman" w:hAnsi="Times New Roman" w:cs="Times New Roman"/>
                <w:b/>
                <w:bCs/>
                <w:i/>
                <w:iCs/>
                <w:szCs w:val="24"/>
              </w:rPr>
              <w:t xml:space="preserve"> по</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Демаркация</w:t>
            </w:r>
            <w:r>
              <w:rPr>
                <w:rStyle w:val="DefaultParagraphFont"/>
                <w:rFonts w:ascii="Times New Roman" w:eastAsia="Times New Roman" w:hAnsi="Times New Roman" w:cs="Times New Roman"/>
                <w:b/>
                <w:bCs/>
                <w:i/>
                <w:iCs/>
                <w:szCs w:val="24"/>
              </w:rPr>
              <w:t xml:space="preserve"> и</w:t>
            </w:r>
            <w:r>
              <w:rPr>
                <w:rStyle w:val="DefaultParagraphFont"/>
                <w:rFonts w:ascii="Times New Roman" w:eastAsia="Times New Roman" w:hAnsi="Times New Roman" w:cs="Times New Roman"/>
                <w:b/>
                <w:bCs/>
                <w:i/>
                <w:iCs/>
                <w:szCs w:val="24"/>
              </w:rPr>
              <w:t xml:space="preserve"> допълняемост</w:t>
            </w:r>
            <w:r>
              <w:rPr>
                <w:rStyle w:val="DefaultParagraphFont"/>
                <w:rFonts w:ascii="Times New Roman" w:eastAsia="Times New Roman" w:hAnsi="Times New Roman" w:cs="Times New Roman"/>
                <w:b/>
                <w:bCs/>
                <w:i/>
                <w:iCs/>
                <w:szCs w:val="24"/>
              </w:rPr>
              <w:t xml:space="preserve"> с</w:t>
            </w:r>
            <w:r>
              <w:rPr>
                <w:rStyle w:val="DefaultParagraphFont"/>
                <w:rFonts w:ascii="Times New Roman" w:eastAsia="Times New Roman" w:hAnsi="Times New Roman" w:cs="Times New Roman"/>
                <w:b/>
                <w:bCs/>
                <w:i/>
                <w:iCs/>
                <w:szCs w:val="24"/>
              </w:rPr>
              <w:t xml:space="preserve"> други</w:t>
            </w:r>
            <w:r>
              <w:rPr>
                <w:rStyle w:val="DefaultParagraphFont"/>
                <w:rFonts w:ascii="Times New Roman" w:eastAsia="Times New Roman" w:hAnsi="Times New Roman" w:cs="Times New Roman"/>
                <w:b/>
                <w:bCs/>
                <w:i/>
                <w:iCs/>
                <w:szCs w:val="24"/>
              </w:rPr>
              <w:t xml:space="preserve"> мерки</w:t>
            </w:r>
            <w:r>
              <w:rPr>
                <w:rStyle w:val="DefaultParagraphFont"/>
                <w:rFonts w:ascii="Times New Roman" w:eastAsia="Times New Roman" w:hAnsi="Times New Roman" w:cs="Times New Roman"/>
                <w:b/>
                <w:bCs/>
                <w:i/>
                <w:iCs/>
                <w:szCs w:val="24"/>
              </w:rPr>
              <w:t xml:space="preserve"> от</w:t>
            </w:r>
            <w:r>
              <w:rPr>
                <w:rStyle w:val="DefaultParagraphFont"/>
                <w:rFonts w:ascii="Times New Roman" w:eastAsia="Times New Roman" w:hAnsi="Times New Roman" w:cs="Times New Roman"/>
                <w:b/>
                <w:bCs/>
                <w:i/>
                <w:iCs/>
                <w:szCs w:val="24"/>
              </w:rPr>
              <w:t xml:space="preserve"> ПРСР</w:t>
            </w:r>
            <w:r>
              <w:rPr>
                <w:rStyle w:val="DefaultParagraphFont"/>
                <w:rFonts w:ascii="Times New Roman" w:eastAsia="Times New Roman" w:hAnsi="Times New Roman" w:cs="Times New Roman"/>
                <w:b/>
                <w:bCs/>
                <w:i/>
                <w:iCs/>
                <w:szCs w:val="24"/>
              </w:rPr>
              <w:t xml:space="preserve"> с</w:t>
            </w:r>
            <w:r>
              <w:rPr>
                <w:rStyle w:val="DefaultParagraphFont"/>
                <w:rFonts w:ascii="Times New Roman" w:eastAsia="Times New Roman" w:hAnsi="Times New Roman" w:cs="Times New Roman"/>
                <w:b/>
                <w:bCs/>
                <w:i/>
                <w:iCs/>
                <w:szCs w:val="24"/>
              </w:rPr>
              <w:t xml:space="preserve"> плащания</w:t>
            </w:r>
            <w:r>
              <w:rPr>
                <w:rStyle w:val="DefaultParagraphFont"/>
                <w:rFonts w:ascii="Times New Roman" w:eastAsia="Times New Roman" w:hAnsi="Times New Roman" w:cs="Times New Roman"/>
                <w:b/>
                <w:bCs/>
                <w:i/>
                <w:iCs/>
                <w:szCs w:val="24"/>
              </w:rPr>
              <w:t xml:space="preserve"> на</w:t>
            </w:r>
            <w:r>
              <w:rPr>
                <w:rStyle w:val="DefaultParagraphFont"/>
                <w:rFonts w:ascii="Times New Roman" w:eastAsia="Times New Roman" w:hAnsi="Times New Roman" w:cs="Times New Roman"/>
                <w:b/>
                <w:bCs/>
                <w:i/>
                <w:iCs/>
                <w:szCs w:val="24"/>
              </w:rPr>
              <w:t xml:space="preserve"> единица</w:t>
            </w:r>
            <w:r>
              <w:rPr>
                <w:rStyle w:val="DefaultParagraphFont"/>
                <w:rFonts w:ascii="Times New Roman" w:eastAsia="Times New Roman" w:hAnsi="Times New Roman" w:cs="Times New Roman"/>
                <w:b/>
                <w:bCs/>
                <w:i/>
                <w:iCs/>
                <w:szCs w:val="24"/>
              </w:rPr>
              <w:t xml:space="preserve"> площ</w:t>
            </w:r>
          </w:p>
          <w:p>
            <w:pPr>
              <w:numPr>
                <w:ilvl w:val="0"/>
                <w:numId w:val="43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3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127" w:name="_Toc256000127"/>
      <w:r>
        <w:rPr>
          <w:b w:val="0"/>
        </w:rPr>
        <w:t>M12 — Плащания по „Натура 2000“ и Рамковата директива за водите (член 30)</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цели на мярката са следните: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32"/>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4"/>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5"/>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5"/>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Минимална площ за участие в мярката – 0,3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Нивата за подпомагане са представени в Приложение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з</w:t>
            </w:r>
            <w:r>
              <w:rPr>
                <w:rStyle w:val="DefaultParagraphFont"/>
                <w:rFonts w:ascii="Times New Roman" w:eastAsia="Times New Roman" w:hAnsi="Times New Roman" w:cs="Times New Roman"/>
                <w:b/>
                <w:bCs/>
                <w:szCs w:val="24"/>
              </w:rPr>
              <w:t xml:space="preserve">а косенето на ливадите </w:t>
            </w:r>
            <w:r>
              <w:rPr>
                <w:rStyle w:val="DefaultParagraphFont"/>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Мярката е контролируема и проверима.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Базови изисквания</w:t>
            </w:r>
          </w:p>
          <w:p>
            <w:pPr>
              <w:numPr>
                <w:ilvl w:val="0"/>
                <w:numId w:val="437"/>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Обработваеми земи</w:t>
            </w:r>
          </w:p>
          <w:p>
            <w:pPr>
              <w:numPr>
                <w:ilvl w:val="0"/>
                <w:numId w:val="43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3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3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2.Трайни насаждения</w:t>
            </w:r>
          </w:p>
          <w:p>
            <w:pPr>
              <w:numPr>
                <w:ilvl w:val="0"/>
                <w:numId w:val="43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3.Постоянно затревени площи</w:t>
            </w:r>
          </w:p>
          <w:p>
            <w:pPr>
              <w:numPr>
                <w:ilvl w:val="0"/>
                <w:numId w:val="44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Забранява се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Косенето на ливади до 01 юли;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Ще се компенсират </w:t>
            </w:r>
            <w:r>
              <w:rPr>
                <w:rStyle w:val="DefaultParagraphFont"/>
                <w:rFonts w:ascii="Times New Roman" w:eastAsia="Times New Roman" w:hAnsi="Times New Roman" w:cs="Times New Roman"/>
                <w:b/>
                <w:bCs/>
                <w:szCs w:val="24"/>
              </w:rPr>
              <w:t>6 на брой забрани</w:t>
            </w:r>
            <w:r>
              <w:rPr>
                <w:rStyle w:val="DefaultParagraphFont"/>
                <w:rFonts w:ascii="Times New Roman" w:eastAsia="Times New Roman" w:hAnsi="Times New Roman" w:cs="Times New Roman"/>
                <w:szCs w:val="24"/>
              </w:rPr>
              <w:t> за селскостопанска дейност. Забраните под номера</w:t>
            </w:r>
            <w:r>
              <w:rPr>
                <w:rStyle w:val="DefaultParagraphFont"/>
                <w:rFonts w:ascii="Times New Roman" w:eastAsia="Times New Roman" w:hAnsi="Times New Roman" w:cs="Times New Roman"/>
                <w:b/>
                <w:bCs/>
                <w:szCs w:val="24"/>
              </w:rPr>
              <w:t xml:space="preserve"> 4, 11, 8, 9, 10  </w:t>
            </w:r>
            <w:r>
              <w:rPr>
                <w:rStyle w:val="DefaultParagraphFont"/>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Style w:val="DefaultParagraphFont"/>
                <w:rFonts w:ascii="Times New Roman" w:eastAsia="Times New Roman" w:hAnsi="Times New Roman" w:cs="Times New Roman"/>
                <w:b/>
                <w:bCs/>
                <w:szCs w:val="24"/>
              </w:rPr>
              <w:t>цел да се избегне двойното финансиране (с I</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стълб)</w:t>
            </w:r>
            <w:r>
              <w:rPr>
                <w:rStyle w:val="DefaultParagraphFont"/>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Пропуснатите приходи</w:t>
            </w:r>
            <w:r>
              <w:rPr>
                <w:rStyle w:val="DefaultParagraphFont"/>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Допълните разходи</w:t>
            </w:r>
            <w:r>
              <w:rPr>
                <w:rStyle w:val="DefaultParagraphFont"/>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Спестените разходи</w:t>
            </w:r>
            <w:r>
              <w:rPr>
                <w:rStyle w:val="DefaultParagraphFont"/>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Style w:val="DefaultParagraphFont"/>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Style w:val="DefaultParagraphFont"/>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пасища, ливади и мери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обработваеми земи (орни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градини)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№10 е показана цялата методология, а в Приложение №13 </w:t>
            </w:r>
            <w:r>
              <w:rPr>
                <w:rStyle w:val="DefaultParagraphFont"/>
                <w:rFonts w:ascii="Times New Roman" w:eastAsia="Times New Roman" w:hAnsi="Times New Roman" w:cs="Times New Roman"/>
                <w:szCs w:val="24"/>
              </w:rPr>
              <w:t>таблица с компенсаторни плащания по зони и видове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1"/>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1"/>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1"/>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1"/>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проверка на място з</w:t>
            </w:r>
            <w:r>
              <w:rPr>
                <w:rStyle w:val="DefaultParagraphFont"/>
                <w:rFonts w:ascii="Times New Roman" w:eastAsia="Times New Roman" w:hAnsi="Times New Roman" w:cs="Times New Roman"/>
                <w:b/>
                <w:bCs/>
                <w:szCs w:val="24"/>
              </w:rPr>
              <w:t xml:space="preserve">а косенето на ливадите </w:t>
            </w:r>
            <w:r>
              <w:rPr>
                <w:rStyle w:val="DefaultParagraphFont"/>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е контролируема и проверима.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 xml:space="preserve">Базови изисквания </w:t>
            </w:r>
          </w:p>
          <w:p>
            <w:pPr>
              <w:numPr>
                <w:ilvl w:val="0"/>
                <w:numId w:val="442"/>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Обработваеми земи</w:t>
            </w:r>
          </w:p>
          <w:p>
            <w:pPr>
              <w:numPr>
                <w:ilvl w:val="0"/>
                <w:numId w:val="44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2.Трайни насаждения </w:t>
            </w:r>
          </w:p>
          <w:p>
            <w:pPr>
              <w:numPr>
                <w:ilvl w:val="0"/>
                <w:numId w:val="44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3.Постоянно затревени площи</w:t>
            </w:r>
          </w:p>
          <w:p>
            <w:pPr>
              <w:numPr>
                <w:ilvl w:val="0"/>
                <w:numId w:val="44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Забранява се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Косенето на ливади до 01 юли;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Ще се компенсират </w:t>
            </w:r>
            <w:r>
              <w:rPr>
                <w:rStyle w:val="DefaultParagraphFont"/>
                <w:rFonts w:ascii="Times New Roman" w:eastAsia="Times New Roman" w:hAnsi="Times New Roman" w:cs="Times New Roman"/>
                <w:b/>
                <w:bCs/>
                <w:szCs w:val="24"/>
              </w:rPr>
              <w:t>6 на брой забрани</w:t>
            </w:r>
            <w:r>
              <w:rPr>
                <w:rStyle w:val="DefaultParagraphFont"/>
                <w:rFonts w:ascii="Times New Roman" w:eastAsia="Times New Roman" w:hAnsi="Times New Roman" w:cs="Times New Roman"/>
                <w:szCs w:val="24"/>
              </w:rPr>
              <w:t> за селскостопанска дейност. Забраните под номера</w:t>
            </w:r>
            <w:r>
              <w:rPr>
                <w:rStyle w:val="DefaultParagraphFont"/>
                <w:rFonts w:ascii="Times New Roman" w:eastAsia="Times New Roman" w:hAnsi="Times New Roman" w:cs="Times New Roman"/>
                <w:b/>
                <w:bCs/>
                <w:szCs w:val="24"/>
              </w:rPr>
              <w:t xml:space="preserve"> 4, 11, 8, 9, 10  </w:t>
            </w:r>
            <w:r>
              <w:rPr>
                <w:rStyle w:val="DefaultParagraphFont"/>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Style w:val="DefaultParagraphFont"/>
                <w:rFonts w:ascii="Times New Roman" w:eastAsia="Times New Roman" w:hAnsi="Times New Roman" w:cs="Times New Roman"/>
                <w:b/>
                <w:bCs/>
                <w:szCs w:val="24"/>
              </w:rPr>
              <w:t>цел да се избегне двойното финансиране (с I</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стълб)</w:t>
            </w:r>
            <w:r>
              <w:rPr>
                <w:rStyle w:val="DefaultParagraphFont"/>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Пропуснатите приходи</w:t>
            </w:r>
            <w:r>
              <w:rPr>
                <w:rStyle w:val="DefaultParagraphFont"/>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Допълните разходи</w:t>
            </w:r>
            <w:r>
              <w:rPr>
                <w:rStyle w:val="DefaultParagraphFont"/>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Спестените разходи</w:t>
            </w:r>
            <w:r>
              <w:rPr>
                <w:rStyle w:val="DefaultParagraphFont"/>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Style w:val="DefaultParagraphFont"/>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Style w:val="DefaultParagraphFont"/>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пасища, ливади и мери (постоянно затревени площи)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обработваеми земи (орни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трайни насаждения (овощни градини)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Style w:val="DefaultParagraphFont"/>
                <w:rFonts w:ascii="Times New Roman" w:eastAsia="Times New Roman" w:hAnsi="Times New Roman" w:cs="Times New Roman"/>
                <w:b/>
                <w:bCs/>
                <w:i/>
                <w:iCs/>
                <w:szCs w:val="24"/>
              </w:rPr>
              <w:t>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44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8" w:name="_Toc256000128"/>
      <w:r>
        <w:rPr>
          <w:b w:val="0"/>
        </w:rPr>
        <w:t>М13 — Плащания за райони, изправени пред природни или други специфични ограничения (член 31)</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Style w:val="DefaultParagraphFont"/>
                <w:rFonts w:ascii="Times New Roman" w:eastAsia="Times New Roman" w:hAnsi="Times New Roman" w:cs="Times New Roman"/>
                <w:b/>
                <w:bCs/>
                <w:szCs w:val="24"/>
              </w:rPr>
              <w:t xml:space="preserve">земеделските земи </w:t>
            </w:r>
            <w:r>
              <w:rPr>
                <w:rStyle w:val="DefaultParagraphFont"/>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4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13.1 Компенсационни плащания в планински райони;</w:t>
            </w:r>
          </w:p>
          <w:p>
            <w:pPr>
              <w:numPr>
                <w:ilvl w:val="0"/>
                <w:numId w:val="44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4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Плащанията по мярката допринасят за постигане на целите на </w:t>
            </w:r>
            <w:r>
              <w:rPr>
                <w:rStyle w:val="DefaultParagraphFont"/>
                <w:rFonts w:ascii="Times New Roman" w:eastAsia="Times New Roman" w:hAnsi="Times New Roman" w:cs="Times New Roman"/>
                <w:b/>
                <w:bCs/>
                <w:szCs w:val="24"/>
              </w:rPr>
              <w:t>приоритет 4</w:t>
            </w:r>
            <w:r>
              <w:rPr>
                <w:rStyle w:val="DefaultParagraphFont"/>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Style w:val="DefaultParagraphFont"/>
                <w:rFonts w:ascii="Times New Roman" w:eastAsia="Times New Roman" w:hAnsi="Times New Roman" w:cs="Times New Roman"/>
                <w:b/>
                <w:bCs/>
                <w:szCs w:val="24"/>
              </w:rPr>
              <w:t>приоритетна област 4А</w:t>
            </w:r>
            <w:r>
              <w:rPr>
                <w:rStyle w:val="DefaultParagraphFont"/>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48"/>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планинските райони в България 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Брой на землищата и площ на планинските райони: Figure</w:t>
            </w:r>
            <w:r>
              <w:rPr>
                <w:rStyle w:val="DefaultParagraphFont"/>
                <w:rFonts w:ascii="Times New Roman" w:eastAsia="Times New Roman" w:hAnsi="Times New Roman" w:cs="Times New Roman"/>
                <w:b/>
                <w:bCs/>
                <w:szCs w:val="24"/>
              </w:rPr>
              <w:t xml:space="preserve"> 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08" name=""/>
                  <wp:cNvGraphicFramePr/>
                  <a:graphic xmlns:a="http://schemas.openxmlformats.org/drawingml/2006/main">
                    <a:graphicData uri="http://schemas.openxmlformats.org/drawingml/2006/picture">
                      <pic:pic xmlns:pic="http://schemas.openxmlformats.org/drawingml/2006/picture">
                        <pic:nvPicPr>
                          <pic:cNvPr id="754698366" name=""/>
                          <pic:cNvPicPr/>
                        </pic:nvPicPr>
                        <pic:blipFill>
                          <a:blip xmlns:r="http://schemas.openxmlformats.org/officeDocument/2006/relationships" r:embed="rId18"/>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Евро / хектар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 50,0 ха - 130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50,0 ха – 100,0 ха - 70евро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100,0 ха - 30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 и Дирекция „Агростатистика” към МЗХ.</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49"/>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Брой на землищата и площ на другите необлагодетелствани райони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със съществени природни ограничения (ТАБЛИЦА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09" name=""/>
                  <wp:cNvGraphicFramePr/>
                  <a:graphic xmlns:a="http://schemas.openxmlformats.org/drawingml/2006/main">
                    <a:graphicData uri="http://schemas.openxmlformats.org/drawingml/2006/picture">
                      <pic:pic xmlns:pic="http://schemas.openxmlformats.org/drawingml/2006/picture">
                        <pic:nvPicPr>
                          <pic:cNvPr id="1000818861" name=""/>
                          <pic:cNvPicPr/>
                        </pic:nvPicPr>
                        <pic:blipFill>
                          <a:blip xmlns:r="http://schemas.openxmlformats.org/officeDocument/2006/relationships" r:embed="rId19"/>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Евро / хектар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 50,0 ха - </w:t>
            </w:r>
            <w:r>
              <w:rPr>
                <w:rStyle w:val="DefaultParagraphFont"/>
                <w:rFonts w:ascii="Times New Roman" w:eastAsia="Times New Roman" w:hAnsi="Times New Roman" w:cs="Times New Roman"/>
                <w:szCs w:val="24"/>
              </w:rPr>
              <w:t>70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50,0 ха – 100,0 ха - 30евро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частта над 100,0 ха - 15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 и Дирекция „Агростатистика” към МЗХ.</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е разработена от:</w:t>
            </w:r>
          </w:p>
          <w:p>
            <w:pPr>
              <w:numPr>
                <w:ilvl w:val="0"/>
                <w:numId w:val="45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Доц. д-р Божидар Иванов – Институт по аграрна икономика </w:t>
            </w:r>
          </w:p>
          <w:p>
            <w:pPr>
              <w:numPr>
                <w:ilvl w:val="0"/>
                <w:numId w:val="45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Ас. Емилия Соколова –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 Дирекция „Растениевъдство” на МЗХ,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Виж точка 8.2.11.7.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Планинските райони са землища които са:</w:t>
            </w:r>
          </w:p>
          <w:p>
            <w:pPr>
              <w:numPr>
                <w:ilvl w:val="0"/>
                <w:numId w:val="45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средна надморска височина минимум 700 м;</w:t>
            </w:r>
          </w:p>
          <w:p>
            <w:pPr>
              <w:numPr>
                <w:ilvl w:val="0"/>
                <w:numId w:val="45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среден наклон на терена минимум 20%;</w:t>
            </w:r>
          </w:p>
          <w:p>
            <w:pPr>
              <w:numPr>
                <w:ilvl w:val="0"/>
                <w:numId w:val="45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 средна надморска височина между минимум 500 м в комбинация със среден наклон на терена минимум 15%;</w:t>
            </w:r>
          </w:p>
          <w:p>
            <w:pPr>
              <w:numPr>
                <w:ilvl w:val="0"/>
                <w:numId w:val="45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Списъкът със землищата, попадащи в обхвата на районите със специфични ограничения, ще бъде представен в Приложение към ПРСР (2014-2020), след тяхното дефиниране.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Други важни забележки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Финансиране на стари задължения, поети по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по дейности от ПРСР (2007-2013) ще бъдат финансирани от старата програмата до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След като новото определяне на границите на районите с природни ограничения, различни от планинските райони, бъде завършено - най-късно в края на 2017 г., площите, определени в тази категория, които попадат в стария обхват, но не попадат в новия, влизат в преходна схема. Бенефициентите в тези райони ще получават максимум 80% от средната стойност на плащанията, които са получили в рамките на програмата за периода 2007-2013 г. Плащанията ще приключват поетапно като намаляват прогресивно до 2020 г., с максимум 20% от плащанията по Програмата за периода 2007-2013 г.</w:t>
            </w:r>
          </w:p>
          <w:p>
            <w:pPr>
              <w:pStyle w:val="BodyText"/>
              <w:jc w:val="both"/>
              <w:rPr>
                <w:b w:val="0"/>
              </w:rPr>
            </w:pPr>
          </w:p>
        </w:tc>
      </w:tr>
    </w:tbl>
    <w:p>
      <w:pPr>
        <w:pStyle w:val="Heading3"/>
        <w:jc w:val="left"/>
        <w:rPr>
          <w:b w:val="0"/>
        </w:rPr>
      </w:pPr>
      <w:r>
        <w:rPr>
          <w:b w:val="0"/>
        </w:rPr>
        <w:br w:type="page"/>
      </w:r>
      <w:bookmarkStart w:id="129" w:name="_Toc256000129"/>
      <w:r>
        <w:rPr>
          <w:b w:val="0"/>
        </w:rPr>
        <w:t>M14 — Хуманно отношение към животните (член 33)</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Принос към областите на въздействие</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Приоритетна област 3А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Цели на мярката: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Тип на подпомагането: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ще се предоставя под формата на годишни плащания за покриване  на допълнителни разходи или пропуснати доходи, свързани с изпълнение на доброволни ангажименти, поети за период от най-малко 5 години от земеделски производители, отглеждащи преживни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намаляване на броя на отглежданите животни, респективно приходите от продажба.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свободно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Mинимум 160 дни годишно, от които минимум 120 дни за свободно пашуване и 40 дни за свободно отглеждане в дворчета.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крави над 24 месеца - най-малко 6.6 м2 в помещение и най-малко 6.6 м2 в двор;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биволици над 24 месеца - най-малко 7.7 м2 в помещение и най-малко 7.7 м2 в двор.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w:t>
            </w:r>
            <w:r>
              <w:rPr>
                <w:rStyle w:val="DefaultParagraphFont"/>
                <w:rFonts w:ascii="Times New Roman" w:eastAsia="Times New Roman" w:hAnsi="Times New Roman" w:cs="Times New Roman"/>
                <w:b/>
                <w:bCs/>
                <w:szCs w:val="24"/>
              </w:rPr>
              <w:t xml:space="preserve">2 </w:t>
            </w:r>
            <w:r>
              <w:rPr>
                <w:rStyle w:val="DefaultParagraphFont"/>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към кандидатите:</w:t>
            </w:r>
          </w:p>
          <w:p>
            <w:pPr>
              <w:numPr>
                <w:ilvl w:val="0"/>
                <w:numId w:val="45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телета в евро/ЖЕ - 27,46 евро;</w:t>
            </w:r>
          </w:p>
          <w:p>
            <w:pPr>
              <w:numPr>
                <w:ilvl w:val="0"/>
                <w:numId w:val="45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крави и биволици над 24 месечна възраст в евро/ЖЕ - 42.71 евро.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14.1.1 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крави над 24 месеца - най-малко 6 м2 в помещение и най-малко 6 м2 в двор;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свободна подова площ за биволици над 24 месеца - най-малко 7 м2 в помещение и най-малко 7 м2 в двор.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14.1.2 Осигуряване на свободно отглеждане на открито - </w:t>
            </w:r>
            <w:r>
              <w:rPr>
                <w:rStyle w:val="DefaultParagraphFont"/>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Свободно отглеждане минимум 160 дни годишно, от които минимум 120 дни  за свободно пашуване и 40 дни за свободно отглеждане в дворчета.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56"/>
              </w:numPr>
              <w:spacing w:before="24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разплодници в помещение 2,4 – 2,6 м2/на двор 3,3 -3,9 м2;</w:t>
            </w:r>
          </w:p>
          <w:p>
            <w:pPr>
              <w:numPr>
                <w:ilvl w:val="0"/>
                <w:numId w:val="456"/>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майки в помещение 1,1 – 1,5 м2/на двор 1,7 -2,8 м2;</w:t>
            </w:r>
          </w:p>
          <w:p>
            <w:pPr>
              <w:numPr>
                <w:ilvl w:val="0"/>
                <w:numId w:val="456"/>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0,44 м2/на двор 0,7 -0,8 м2;</w:t>
            </w:r>
          </w:p>
          <w:p>
            <w:pPr>
              <w:numPr>
                <w:ilvl w:val="0"/>
                <w:numId w:val="456"/>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0,44 м2/на двор 0,7 -0,8 м2;</w:t>
            </w:r>
          </w:p>
          <w:p>
            <w:pPr>
              <w:numPr>
                <w:ilvl w:val="0"/>
                <w:numId w:val="456"/>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56"/>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56"/>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шилета за угоява в помещение 0,7 - 0,8 м2/на двор 1,7 -2,2 м2;</w:t>
            </w:r>
          </w:p>
          <w:p>
            <w:pPr>
              <w:numPr>
                <w:ilvl w:val="0"/>
                <w:numId w:val="456"/>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Изисквания към кандидатите:</w:t>
            </w:r>
          </w:p>
          <w:p>
            <w:pPr>
              <w:numPr>
                <w:ilvl w:val="0"/>
                <w:numId w:val="45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Поетите ангажименти се изпълняват за срок от минимум пет години.  Спазването на изискванията по отношение на поетите ангажименти ще подлежат на проверка ежегодно.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8"/>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8"/>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5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5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9"/>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59"/>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14.2.2 Осигуряване на свободна подова площ:</w:t>
            </w:r>
          </w:p>
          <w:p>
            <w:pPr>
              <w:numPr>
                <w:ilvl w:val="0"/>
                <w:numId w:val="460"/>
              </w:numPr>
              <w:spacing w:before="24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разплодници в помещение 2,2 – 2,4 м2/на двор 3,0 -3,5 м2;</w:t>
            </w:r>
          </w:p>
          <w:p>
            <w:pPr>
              <w:numPr>
                <w:ilvl w:val="0"/>
                <w:numId w:val="460"/>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овце и кози майки в помещение 1,0 – 1,4 м2/на двор 1,5 -2,5 м2;</w:t>
            </w:r>
          </w:p>
          <w:p>
            <w:pPr>
              <w:numPr>
                <w:ilvl w:val="0"/>
                <w:numId w:val="460"/>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агнета и ярета в помещение 0,4 м2/на двор 0,6 -0,7;</w:t>
            </w:r>
          </w:p>
          <w:p>
            <w:pPr>
              <w:numPr>
                <w:ilvl w:val="0"/>
                <w:numId w:val="460"/>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0"/>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0"/>
              </w:numPr>
              <w:spacing w:before="0" w:after="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шилета за угоява в помещение 0,6 - 0,7 м2/на двор 1,5 -2,0 м2;</w:t>
            </w:r>
          </w:p>
          <w:p>
            <w:pPr>
              <w:numPr>
                <w:ilvl w:val="0"/>
                <w:numId w:val="460"/>
              </w:numPr>
              <w:spacing w:before="0" w:after="240"/>
              <w:ind w:left="144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бракувани овце в помещение 0,9 м2/на двор 1,5 м2.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1"/>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1"/>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Осъществяване на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свободна подова площ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Осигуряване на свободно отглеждане на открито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представя ветеринарномедицински дневник, в който се вписват дните и часовете на извеждане за свободно отглеждане. Кандидатът предоставя разрешително за паша на отглежданите животни.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ветеринарномедицинската дейност (ЗВД);</w:t>
            </w:r>
          </w:p>
          <w:p>
            <w:pPr>
              <w:numPr>
                <w:ilvl w:val="0"/>
                <w:numId w:val="46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защита на животните;</w:t>
            </w:r>
          </w:p>
          <w:p>
            <w:pPr>
              <w:numPr>
                <w:ilvl w:val="0"/>
                <w:numId w:val="46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Style w:val="DefaultParagraphFont"/>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Животни от рода на овцете и козите - 0,15 ЖЕ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0" w:name="_Toc256000130"/>
      <w:r>
        <w:rPr>
          <w:b w:val="0"/>
        </w:rPr>
        <w:t>М15 — Екологични услуги и услуги във връзка с климата в горското стопанство и опазване на горите (член 34)</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34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37 и 42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Националната стратегия за Устойчиво развитие на горския сектор в България 2013-2020 г., горите се възприемат от българското общество като част от националното богатство и националната ни идентичност. Техните икономически, социални и екологични функции са от важно значение за устойчивото развитие на обществото и за подобряване на условията на живот, най-вече в селските и планински райони. Управлението на българските гори е ключов фактор за опазване на биологичното и ландшафтно разнообразие у нас. Българските гори осигуряват около 85% от водния отток в страната или около 3.6 млрд м3 ресурс от чиста питейна вода. Те имат значителна роля за намаляване емисиите от парникови газове в атмосферата, като свързват въглерода в натрупаната биомаса и фактически поглъщат СО2. Постоянното покритие с горскодървесна растителност е предпоставка за запазване на почвите и спиране на ерозията.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Важна цел от Стратегията е опазване и възстановяване компонентите на биологичното и ландшафтно разнообразие чрез интегриране на консервационните цели в горскостопанските практики, изграждане на адекватни системи за “ex-situ” съхраняване и природосъобразно управление на горите.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тази мярка ще допринесат за приоритетна област 4А за опазването на биоразнообразието в горите. Мярката се състои от две подмерки: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Плащания за горски екологични ангажименти и услуги свързани с климата, която поради липса на система за контрол ще се прилага от началото на 2016 г., 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съхранение и производство на горски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15.2. Подпомагане за запазване и поддръжка на горски генетични ресурси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5"/>
              </w:numPr>
              <w:rPr>
                <w:b w:val="0"/>
              </w:rPr>
            </w:pPr>
            <w:r>
              <w:rPr>
                <w:b w:val="0"/>
              </w:rPr>
              <w:t>15.2 — подпомагане за опазването и укрепването на генетичните ресурси в горските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Тази подмярка е в отговор на необходимостта от опазване на горските генетични ресурси, включително и  дейноститe по  развитие  на системата за опазването и устойчивото им 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 България е малка по територия, но географското й положение е такова, че в нея се среща голямо разнообразие на екологични условия – орография, геологичен строеж и петрографски състав, климатична динамика и почвено разнообразие. Това обуславя наличието на богата горско-дървесна и храстова растителност. Досегашните проучвания са установили множество подвидове, вариетети и форми на дървесните и храстови видове показващи генетичното богатство на нашия горски фонд. На този генетичен запас трябва да се гледа като на естествено природно богатство. Именно в него се крие устойчивостта на горските популации. Горския генетичен фонд има изключително важно значение за живота на човека, като съществен компонент на околната среда. Ето защо опознаването и опазването му е една от предпоставките за опазване на околната среда. Необходимо е да бъде предотвратена евентуалната загуба на генетичен фонд, тъй като тя може да доведе до отрицателни последици за пригодността, продуктивността и да възпрепятства адаптивните промени в популациите в отговор на промяната на климата.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България се гордее с редица съхранени уникални автохтонни популации от иглолистни и широколистни дървесни видове и храсти. В днешно време, от една страна рисковете от загуба на генетични ресурси в резултат на антропогенна дейност, природни бедствия, въздействие на промените в климата и други неблагоприятни фактори и от друга страна отговорността за това какво ще оставим на бъдещите поколения, ни задължава да предприемем още действия за опазване на горските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Запазването на генетичните ресурси по метода „ex situ” ни дава възможност устойчиво да съхраняваме и запазваме генетични ресурси, с което ще намалим риска от загуба на биологично разнообразие при евентуални бедствия, промяна на климата, едроплощни природни нарушения и други негативни фактори. Съхраняването за в бъдеще на генетичен материал в генната банка, семепроизводствени градини и клонови колекции ще осигури широк спектър от генетични запаси и ще позволи използването на най-подходящите произходи при необходимост от възстановяване на увредени хабитати. По този начин в голямя степен ще се горантира приноса на горите за екологични, климатични и социални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І. Дейности за опазване на генетичните ресурси, които са свързани 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“ex situ” съхранение чрез създаване на семепроизводствени градини и клонови колекции от различни произходи на местните дървесни видове.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ІІ. За целите по т.І са допустими и следните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Инвестиции за определяне, добив, съхранение и производство на горски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Обмяна на информация и опит с компетентни организации от други държави-членки в областта на горските генетични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Разпространение на информация във връзка с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Закон за горите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Наредба № 21 от 12 ноември 2012 година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28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Държавни институции, отговорни за управлението на горските генетичните ресурси</w:t>
            </w:r>
          </w:p>
          <w:p>
            <w:pPr>
              <w:numPr>
                <w:ilvl w:val="0"/>
                <w:numId w:val="46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Научни институти и университети с компетентност относно горските генетични ресурси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определяне на източници, събиране, преработка и добив на горски репродуктивни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производство на фиданки за създаване на семепроизводствени градини и клонови колекции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създаване, попълване, отглеждане и поддържане на семепроизводствени градини и клонови колекции, включително тяхното ограждане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командировъчни (пътни, дневни, квартирни), свързани определяне на източници и добива на горски репродуктивни материали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разработване и закупуване на специализиран софтуер в областта на генетичните ресурси, както и разработване и поддържане на интернет сайт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разпространение на резултатите от проекта – създаване на интернет сайт, печатни материали, семинари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обмяна на информация и опит с компетентни организации от други държави-членки в областта на горските генетични ресурси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инвестиции за целите на проекта, включително и чрез финансов лизинг, на нови специализирани машини и прикачен инвентар, техника, оборудване и съоръжения; лабораторно оборудване и апаратура и свързаните с тях химикали и консумативи за нуждите на генната банка.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закупуване на високопроходими автомобили.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Кандидатите трябва да представят план за изпълнение на проекта за период от 5 години в случаите на създаване на семепроизводствена градина и клонова колекция и 7 години за нуждите на генната банка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Планът за изпълнение трябва да съдържа цели, описание на дейностите и предвидените инвестиции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дейности по запазването на генетичното разнообразие е свързано само с дървесни видове, които са местни за България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Държавните институции, отговорни за управлението на горските генетични ресурси, които изпълняват дейности, свързани със създаване на семепроизводствени градини и клонови колекции, изпълняват проекти само в териториалния обхват, определен в устройствения правилник на институцията.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закупуване на високопроходими автомобили са допустими само за нуждите на генната банка и са пряко свързани със събирането на горски репродуктивен материал, като за периода на изпълнение на програмата се подпомага закупуването само по един високопроходим автомобил за всяко от специализираните териториални звена, отговорни за управлението на горските генетичните ресурси.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 се подпомагат като самостоятелен проект дейности, включващи единствено информационни дейности, инвестиции и дейности по обмяна на информация и опит с други държави-членки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 настоящата подмярка не се предоставя подпомагане за дейности, финансирани от Рамковата програма на ЕС за научни изследвания и иновации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сухоустойчиви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устойчиви на пожари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редки и ценни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застрашени от генетична ерозия дървесни видове.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основни дървесни видове от автохтонни популации.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Бюджетът на тази подмярка е в размер на левовата равностойност на 1 500 000 евро. Процентът на съфинансиране от ЕЗФРСР е 75 %.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тази подмярка ще бъде 100% от общите допустими разходи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350 000 евро в случаите, когато се отнася за генна банка, и 150 000 евро в случаите, когато се отнася за семепроизводствени градини и клонови колекции.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 е авансово плащане в размер до 50% от общия размер на одобрената финансова помощ, в случай, че е предвидено по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67"/>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67"/>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7.1. Отделните операции и бенефициенти, допустими по мерките от ПРСР са разграничени;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7.2. Подобряване на контролните системи, чрез въвеждане на кръстосани проверки с останалите мерки и под-мерки от ПРСР за установяване на допустимостта на заявените дейности/разходи.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 за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Целта на мярката</w:t>
            </w:r>
            <w:r>
              <w:rPr>
                <w:rStyle w:val="DefaultParagraphFont"/>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допринася основно към реализирането на </w:t>
            </w:r>
            <w:r>
              <w:rPr>
                <w:rStyle w:val="DefaultParagraphFont"/>
                <w:rFonts w:ascii="Times New Roman" w:eastAsia="Times New Roman" w:hAnsi="Times New Roman" w:cs="Times New Roman"/>
                <w:b/>
                <w:bCs/>
                <w:szCs w:val="24"/>
              </w:rPr>
              <w:t>приоритетна област 1Б</w:t>
            </w:r>
            <w:r>
              <w:rPr>
                <w:rStyle w:val="DefaultParagraphFont"/>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Style w:val="DefaultParagraphFont"/>
                <w:rFonts w:ascii="Times New Roman" w:eastAsia="Times New Roman" w:hAnsi="Times New Roman" w:cs="Times New Roman"/>
                <w:b/>
                <w:bCs/>
                <w:szCs w:val="24"/>
              </w:rPr>
              <w:t>2А, 3А, 4А, 4Б, 4В, 5А, 5Б, 5В, 5Г, 5Д</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68"/>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Style w:val="DefaultParagraphFont"/>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Style w:val="DefaultParagraphFont"/>
                <w:rFonts w:ascii="Times New Roman" w:eastAsia="Times New Roman" w:hAnsi="Times New Roman" w:cs="Times New Roman"/>
                <w:b/>
                <w:bCs/>
                <w:szCs w:val="24"/>
              </w:rPr>
              <w:t>част 8.2.14.7.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стопани;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МСП в областта на преработката на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план, който съдържа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При подбор на проекти </w:t>
            </w:r>
            <w:r>
              <w:rPr>
                <w:rStyle w:val="DefaultParagraphFont"/>
                <w:rFonts w:ascii="Times New Roman" w:eastAsia="Times New Roman" w:hAnsi="Times New Roman" w:cs="Times New Roman"/>
                <w:szCs w:val="24"/>
                <w:u w:val="single"/>
              </w:rPr>
              <w:t>за първа фаза</w:t>
            </w:r>
            <w:r>
              <w:rPr>
                <w:rStyle w:val="DefaultParagraphFont"/>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6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6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6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6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6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За оперативни групи, изпълнявали </w:t>
            </w:r>
            <w:r>
              <w:rPr>
                <w:rStyle w:val="DefaultParagraphFont"/>
                <w:rFonts w:ascii="Times New Roman" w:eastAsia="Times New Roman" w:hAnsi="Times New Roman" w:cs="Times New Roman"/>
                <w:szCs w:val="24"/>
                <w:u w:val="single"/>
              </w:rPr>
              <w:t>проекти с първа фаза</w:t>
            </w:r>
            <w:r>
              <w:rPr>
                <w:rStyle w:val="DefaultParagraphFont"/>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Максималният размер на допустимите разходи за една оперативна група за един проект е 1 000 000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0"/>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0"/>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16.1.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иновативния проект на оперативните групи. Определянето на вида на опростените разходи за сформиране и функциониране на ОП на ЕПИ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оперативната група; текущи разходи във връзка със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16.2. Подкрепа за пилотни проекти и за развитие на нови продукти, практики, процеси и технологии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1"/>
              </w:numPr>
              <w:rPr>
                <w:b w:val="0"/>
              </w:rPr>
            </w:pPr>
            <w:r>
              <w:rPr>
                <w:b w:val="0"/>
              </w:rPr>
              <w:t>16.2 — подпомагане за пилотни проекти и за разработване на нови продукти, практики, процеси и технологии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на новосъздадени клъстери, в които са групирани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изпълнение на проекти насочени към  производство на качествени и безопасни храни; подобряване на конкурентоспособността на първичните производители чрез по-доброто им интегриране в селскостопанската и хранителната верига; възстановяване, опазване и укрепване на биологичното разнообразие и опазване на околната среда.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Един новосъздаден клъстер може да изпълнява един проект за сътрудничество. В проекта се посочва организацията на сътрудничеството в рамките на клъстера, участниците и  икономическата/иновативна дейност на всеки участник, както и общите дейности, вида на споделените съоръжения, информацията, която ще се разпространява сред участниците, включени в клъстера.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на новосъздаден клъстери за изпълнение на действията по конкретни проекти за сътрудничество.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не се подкрепят проекти, които са самостоятелни научни изследвания.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проектите не може да се включват:  демонстрационни обекти, съгласно определянето им като такива по подмярка 1.2. от мярка 1“Трансфер на знания и дейности за осведомяване“; обекти включвани в проекти за подкрепа по ОП „Наука и образование за интелигентен растеж“; дейности и лица, подкрепени по ОП „Иновации и конкурентоспособност“ в съответствие с демаркацията.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Финансирането на новосъздадените клъстери може да обхваща две фази: фаза на сформиране на клъстера и фаза на функциониране на новосъздадения клъстер. Условията за двете фази отговарят на изискванията посочени за подмярка 16.1 в т. 8.2.14.3.1.2.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биоразнообразието и безопасност на храните.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 по подмярката са новосъздадени клъстери, които изпълняват конкретни проекти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проекта за сътрудничество – 5 000 евро на година за новосъздаден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състава на клъстера – 10 000 евро на година за новосъздаден клъстер -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новосъздаден клъстер –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Преки разходи за изпълнение на проект за сътрудничество, включително разходи за инвестиции – съгласно представен инвестиционен план - допустими само за втора фаза на изпълнение.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Да са новосъздаден клъстер под формата на обединение, в което са включени   лица или организации от следния вид:</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Независими предприятия, включително новосъздадени, които могат да бъдат: малки, средни или големи предприятия, извършващи дейност в областта на първичното производство на земеделска продукция или преработката.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Научноизследователски организации, които могат да бъдат: научни институти или опитни станции, които извършват научни изследвания и научно обслужване в областта на селското стопанство или биотехнологиите или хранителните технологии и са организации по Закона за Селскостопанската академия, Закона за Българската академия на науките;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„Хранителни технологии“, „Биотехнологии“, „Науки за земята“.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Организации, които осъществяват оценка на съответствието на качествените характеристики на храните, лабораторно-диагностична и научноизследователска дейност, обучение и квалификация.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Експериментални лаборатории, изследователски институти по смисъла на чл. 60 от Закона за администрацията.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Консултантски организации с предмет на консултантската дейност в областта на селското стопанство или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Клъстерът да е обединение от минимум 5 субекта от допустимите лица или организации.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Дейностите, които ще се извършват в клъстера, да са в обхвата на Приложение I от ДФЕС.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Да бъде представен подробен план и етапи за изпълнение на проекта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Съдържанието на плана е представено в </w:t>
            </w:r>
            <w:r>
              <w:rPr>
                <w:rStyle w:val="DefaultParagraphFont"/>
                <w:rFonts w:ascii="Times New Roman" w:eastAsia="Times New Roman" w:hAnsi="Times New Roman" w:cs="Times New Roman"/>
                <w:b/>
                <w:bCs/>
                <w:szCs w:val="24"/>
              </w:rPr>
              <w:t>т. 8.2.14.3.2.12. Information specific to the operation</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избор се базират на следните принципи: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Оценка на основните характеристики на клъстера – структура, териториално покритие, регионално или секторно значение,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Оценка на планираните дейности на клъстера и степента на покриване на една или повече от следните области: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Производство и изпитване на качествени и безопасни храни;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Поддържане и подобряване на генофонда в растениевъдството и животновъдството за повишаване на потенциала на първичното селскостопанско производство;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възможностите за развитие на сектора/секторите в които оперира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Оценка на методите за трансфер на знания и разпространението на информация сред участниците в клъстера;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Оценка на вида и качеството на споделените съоръжения, които са предвидени в инвестиционния план във връзка със значението за участниците в клъстера и устойчивост на резултатите от използването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допустимият размер на помощта за периода на прилагане на програмата е  1 500 000 евро и ще бъде в съответствие с нотифицирана държавна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2"/>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16.2.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проекта за сътрудничество на новосъздаден клъстер.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на клъстер съгласно чл. 2 параграф 1 буква р) от регламент 1605/2013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Клъстер означава групиране на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3"/>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Обединение за къса верига на доставки или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Обединение за местен пазар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МСП;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Търговци на дребно;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Участието на земеделските стопани е задължително.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Бизнес план за изпълнение на дейностите;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 за популяризиране.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Договор за създаване на обединението.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териториалния обхват на проекта </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участниците  в проекта</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Съществува риск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5"/>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5"/>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Стандартните разходи по подмярка 16.4.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колективен проект за сътрудничество на обединение за къса верига на доставки или обединение за местен пазар.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Style w:val="DefaultParagraphFont"/>
                <w:rFonts w:ascii="Times New Roman" w:eastAsia="Times New Roman" w:hAnsi="Times New Roman" w:cs="Times New Roman"/>
                <w:i/>
                <w:iCs/>
                <w:szCs w:val="24"/>
              </w:rPr>
              <w:t>Data mining</w:t>
            </w:r>
            <w:r>
              <w:rPr>
                <w:rStyle w:val="DefaultParagraphFont"/>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четири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 и разходи за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 Процедури по подмярка 16.1 относно: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2. Процедури по подмярка 16.2 относно: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Цел и обхват на дейностите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Етапи за изпълнение на проекта за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Прилагане на критериите за подбор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и храните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приоритети на ВОМР са свързани 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Style w:val="DefaultParagraphFont"/>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6"/>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7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Обучение на местни заинтересовани страни;</w:t>
            </w:r>
          </w:p>
          <w:p>
            <w:pPr>
              <w:numPr>
                <w:ilvl w:val="0"/>
                <w:numId w:val="4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Проучвания в съответната територия;</w:t>
            </w:r>
          </w:p>
          <w:p>
            <w:pPr>
              <w:numPr>
                <w:ilvl w:val="0"/>
                <w:numId w:val="47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7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Връзка с друго законодателство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7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Проучвания и анализи на територията;</w:t>
            </w:r>
          </w:p>
          <w:p>
            <w:pPr>
              <w:numPr>
                <w:ilvl w:val="0"/>
                <w:numId w:val="47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7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по т. Б за подпомагане на малки пилотни проекти:</w:t>
            </w:r>
          </w:p>
          <w:p>
            <w:pPr>
              <w:numPr>
                <w:ilvl w:val="0"/>
                <w:numId w:val="47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7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8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Кохерентност на територията;</w:t>
            </w:r>
          </w:p>
          <w:p>
            <w:pPr>
              <w:numPr>
                <w:ilvl w:val="0"/>
                <w:numId w:val="48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8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8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8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са предостави доказателства, че са в обществена полза;</w:t>
            </w:r>
          </w:p>
          <w:p>
            <w:pPr>
              <w:numPr>
                <w:ilvl w:val="0"/>
                <w:numId w:val="48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по т. 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общини в състава на партньорството;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-Население на територията на партньорството;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проекти по т. Б</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полза на проекта за местната общност;</w:t>
            </w:r>
          </w:p>
          <w:p>
            <w:pPr>
              <w:numPr>
                <w:ilvl w:val="0"/>
                <w:numId w:val="48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100% от общите допустими разходи;</w:t>
            </w:r>
          </w:p>
          <w:p>
            <w:pPr>
              <w:numPr>
                <w:ilvl w:val="0"/>
                <w:numId w:val="4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4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48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Б до левовата равностойност на 15 000 евро за малък пилотен проект.</w:t>
            </w:r>
          </w:p>
          <w:p>
            <w:pPr>
              <w:numPr>
                <w:ilvl w:val="0"/>
                <w:numId w:val="48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84"/>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Инвестиционни разходи съгласно чл. 45 от Регламент (EC) № 1305/2013;</w:t>
            </w:r>
          </w:p>
          <w:p>
            <w:pPr>
              <w:numPr>
                <w:ilvl w:val="0"/>
                <w:numId w:val="48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8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Проектите се изпълняват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стойност на допустимите разходи за един проект, подпомаган от ЕЗФРСР по стратегията за водено от общностите местно развитие не може да надвишава левовата равностойност на 200 000 евро.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86"/>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48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48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48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48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публикации в медиите;</w:t>
            </w:r>
          </w:p>
          <w:p>
            <w:pPr>
              <w:numPr>
                <w:ilvl w:val="0"/>
                <w:numId w:val="48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48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48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се прилагат от МИГ, одобрени от Управляващия орган;</w:t>
            </w:r>
          </w:p>
          <w:p>
            <w:pPr>
              <w:numPr>
                <w:ilvl w:val="0"/>
                <w:numId w:val="49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целят развитието на територии, покрити от стратегии на МИГ;</w:t>
            </w:r>
          </w:p>
          <w:p>
            <w:pPr>
              <w:numPr>
                <w:ilvl w:val="0"/>
                <w:numId w:val="49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49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проекта;</w:t>
            </w:r>
          </w:p>
          <w:p>
            <w:pPr>
              <w:numPr>
                <w:ilvl w:val="0"/>
                <w:numId w:val="4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Наличие на ясна обвързаност с целите на СМР;</w:t>
            </w:r>
          </w:p>
          <w:p>
            <w:pPr>
              <w:numPr>
                <w:ilvl w:val="0"/>
                <w:numId w:val="49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партньорството;</w:t>
            </w:r>
          </w:p>
          <w:p>
            <w:pPr>
              <w:numPr>
                <w:ilvl w:val="0"/>
                <w:numId w:val="49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92"/>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Grants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Principles with regards to the setting of selection criteria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ind w:left="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 100 % от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(Data mining) като процес на откриване на смислени корелации зависимости, повтарящи се образци и тенденции в големи масиви от данни. Този вид извличане на данни за предишен период (2009 - 2014 г.) посредством предварително формулирани заявки към базите данни, събрани по мярка 431 „Управление на МИГ, придобиване на умения и постигане на обществена активност на съответната територия“ от ос 4 ЛИДЕР на ПРСР 2007–2013 г. генерира имплицитно формулирана на неочевидна, предварително известна и полезна информация за използване на допустими, одобрени, прозрачно и точно направени разходи в минали периоди за оценка на бъдещите такива.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Data mining представлява процес на анализ на съхраняваните бази данни в посока на извличане на нова полезна информация чрез разкриване на дълбоките и скрити взаимоотношения между на пръв поглед неизвестни и несвързани една с друга величини. Важна негова особеност е, че той осигурява възможност за обработка на многомерни масиви и извличане на многомерни зависимости, като същевременно автоматично разкрива изключителните ситуации - данни и случаи, не включващи се в общите закономерности. Data mining технологията анализира и разкрива зависимости между различни компоненти и параметри. На тази база са обработени, проверени, анализирани и извлечени статистически обосновани стандартни таблици за опростените разходи.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Събрани са и анализирани масиви от данни по мярка 431 за местните общности, които са прилагали подхода ЛИДЕР през програмния период 2007 – 2013 г. В допълнение е събрана допълнителна статистическа информация от следните достоверни източници, в които посочените разходи са надлежно описани и документирани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Национален статистически институт (НСИ) за периода 2011 –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одобрени, изпълнени и отчетени проекти по програмите на структурните фондове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данни от одобрени, изпълнени и отчетени проекти по програмите на Финансовия механизъм на европейското икономическо пространство 2011 –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базата на гореописаната методика са извлечени, статистически обработени и изчислени средните стойности на релевантни дейности, които са прилагани по подхода ЛИДЕР през програмния период 2007 – 2013 г. и на тяхна база са предложени стандартни таблица за разходите за единица продукт и еднократни суми.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и храните и Държавен фонд „Земеделие“, съгласно чл. 62, пар. 2 от Регламент 1305/2013. Методиката е представена в Приложение № 17 към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49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493"/>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49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49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Обявяване на покана за прием на стратегии;</w:t>
            </w:r>
          </w:p>
          <w:p>
            <w:pPr>
              <w:numPr>
                <w:ilvl w:val="0"/>
                <w:numId w:val="49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49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 на постъпилите стратегии.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и храните,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Условия за допустимост</w:t>
            </w:r>
          </w:p>
          <w:p>
            <w:pPr>
              <w:numPr>
                <w:ilvl w:val="0"/>
                <w:numId w:val="49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Липса на припокриване на една и съща територия от различни МИГ;</w:t>
            </w:r>
          </w:p>
          <w:p>
            <w:pPr>
              <w:numPr>
                <w:ilvl w:val="0"/>
                <w:numId w:val="4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Кохерентност на територията;</w:t>
            </w:r>
          </w:p>
          <w:p>
            <w:pPr>
              <w:numPr>
                <w:ilvl w:val="0"/>
                <w:numId w:val="4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49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49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Критерии за избор</w:t>
            </w:r>
          </w:p>
          <w:p>
            <w:pPr>
              <w:numPr>
                <w:ilvl w:val="0"/>
                <w:numId w:val="49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партньорството;</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496"/>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Качество на СМР;</w:t>
            </w:r>
          </w:p>
          <w:p>
            <w:pPr>
              <w:numPr>
                <w:ilvl w:val="0"/>
                <w:numId w:val="49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Капацитет за прилагане на стратегията.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Управляващия/те орган/и: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Неприложимо</w:t>
            </w:r>
          </w:p>
          <w:p>
            <w:pPr>
              <w:pStyle w:val="BodyText"/>
              <w:jc w:val="both"/>
              <w:rPr>
                <w:b w:val="0"/>
              </w:rPr>
            </w:pPr>
          </w:p>
        </w:tc>
      </w:tr>
    </w:tbl>
    <w:p>
      <w:pPr>
        <w:rPr>
          <w:b w:val="0"/>
        </w:rPr>
        <w:sectPr>
          <w:pgMar w:top="900" w:right="900" w:bottom="900" w:left="900" w:header="720" w:footer="720"/>
          <w:cols w:space="720"/>
        </w:sectPr>
      </w:pPr>
    </w:p>
    <w:p>
      <w:pPr>
        <w:pStyle w:val="Heading1"/>
      </w:pPr>
      <w:bookmarkStart w:id="133" w:name="_Toc256000133"/>
      <w:r>
        <w:t>План за оценка</w:t>
      </w:r>
      <w:bookmarkEnd w:id="133"/>
    </w:p>
    <w:p>
      <w:pPr>
        <w:pStyle w:val="Heading2"/>
      </w:pPr>
      <w:bookmarkStart w:id="134" w:name="_Toc256000134"/>
      <w:r>
        <w:t>Цели и задачи</w:t>
      </w:r>
      <w:bookmarkEnd w:id="134"/>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 План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9.1. Задачи и цели на Плана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Предназначението на </w:t>
            </w:r>
            <w:r>
              <w:rPr>
                <w:rStyle w:val="DefaultParagraphFont"/>
                <w:rFonts w:ascii="Times New Roman" w:eastAsia="Times New Roman" w:hAnsi="Times New Roman" w:cs="Times New Roman"/>
                <w:b/>
                <w:bCs/>
                <w:szCs w:val="24"/>
              </w:rPr>
              <w:t>Плана за оценка</w:t>
            </w:r>
            <w:r>
              <w:rPr>
                <w:rStyle w:val="DefaultParagraphFont"/>
                <w:rFonts w:ascii="Times New Roman" w:eastAsia="Times New Roman" w:hAnsi="Times New Roman" w:cs="Times New Roman"/>
                <w:szCs w:val="24"/>
              </w:rPr>
              <w: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5" w:name="_Toc256000135"/>
      <w:r>
        <w:t>Управление и координация</w:t>
      </w:r>
      <w:bookmarkEnd w:id="135"/>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9.2. Управление и координация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остатъчните бюджети по мерките,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6" w:name="_Toc256000136"/>
      <w:r>
        <w:t>Предмет на оценката и дейности</w:t>
      </w:r>
      <w:bookmarkEnd w:id="136"/>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9.3. Теми и дейности за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Темите за оценка в тях включват: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Последваща оценка на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  Тема: </w:t>
            </w:r>
            <w:r>
              <w:rPr>
                <w:rStyle w:val="DefaultParagraphFont"/>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Тема</w:t>
            </w:r>
            <w:r>
              <w:rPr>
                <w:rStyle w:val="DefaultParagraphFont"/>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 xml:space="preserve">Тема: </w:t>
            </w:r>
            <w:r>
              <w:rPr>
                <w:rStyle w:val="DefaultParagraphFont"/>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Тема</w:t>
            </w:r>
            <w:r>
              <w:rPr>
                <w:rStyle w:val="DefaultParagraphFont"/>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37" w:name="_Toc256000137"/>
      <w:r>
        <w:t>Данни и информация</w:t>
      </w:r>
      <w:bookmarkEnd w:id="137"/>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9.4. Данни и информация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Style w:val="DefaultParagraphFont"/>
                <w:rFonts w:ascii="Times New Roman" w:eastAsia="Times New Roman" w:hAnsi="Times New Roman" w:cs="Times New Roman"/>
                <w:b/>
                <w:bCs/>
                <w:szCs w:val="24"/>
              </w:rPr>
              <w:t xml:space="preserve">информационният модул за наблюдение </w:t>
            </w:r>
            <w:r>
              <w:rPr>
                <w:rStyle w:val="DefaultParagraphFont"/>
                <w:rFonts w:ascii="Times New Roman" w:eastAsia="Times New Roman" w:hAnsi="Times New Roman" w:cs="Times New Roman"/>
                <w:szCs w:val="24"/>
              </w:rPr>
              <w:t>трябва да има следните характеристики: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38" w:name="_Toc256000138"/>
      <w:r>
        <w:t>График</w:t>
      </w:r>
      <w:bookmarkEnd w:id="138"/>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9.5. График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1.Последваща оценка на ПРСР (2007-2013)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октомври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октомври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- 31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април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2.Извършване на оценка на ефективността от прилагането на Комуникационния план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3.Оценка на информационните системи за наблюдение и за индикатори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4.Извършване на цялостна оценка на ПРСР (2014-2020) за периода от одобрение на ПРСР до края на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април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май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5.Оценка на прилагането на финансови инструменти за периода от одобрение на ПРСР (2014-2020) до края на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техническо задание и стартиране на тръжната процедурата</w:t>
            </w:r>
            <w:r>
              <w:rPr>
                <w:rStyle w:val="DefaultParagraphFont"/>
                <w:rFonts w:ascii="Times New Roman" w:eastAsia="Times New Roman" w:hAnsi="Times New Roman" w:cs="Times New Roman"/>
                <w:szCs w:val="24"/>
              </w:rPr>
              <w:t xml:space="preserve"> - 30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 </w:t>
            </w:r>
            <w:r>
              <w:rPr>
                <w:rStyle w:val="DefaultParagraphFont"/>
                <w:rFonts w:ascii="Times New Roman" w:eastAsia="Times New Roman" w:hAnsi="Times New Roman" w:cs="Times New Roman"/>
                <w:szCs w:val="24"/>
              </w:rPr>
              <w:t>30 май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Предаване на окончателен доклад за оценката</w:t>
            </w:r>
            <w:r>
              <w:rPr>
                <w:rStyle w:val="DefaultParagraphFont"/>
                <w:rFonts w:ascii="Times New Roman" w:eastAsia="Times New Roman" w:hAnsi="Times New Roman" w:cs="Times New Roman"/>
                <w:szCs w:val="24"/>
              </w:rPr>
              <w:t xml:space="preserve"> – 30 юни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6.Извършване на оценка на ефективността, ефикасността и въздействието от работата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2017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февруари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май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30 юни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7.Извършване на цялостна оценка на ПРСР (2014-2020) за периода от одобрение на ПРСР до края на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- 28 януари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април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30 май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8.Предварителна оценка на ПРСР (2021-2027)</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Style w:val="DefaultParagraphFont"/>
                <w:rFonts w:ascii="Times New Roman" w:eastAsia="Times New Roman" w:hAnsi="Times New Roman" w:cs="Times New Roman"/>
                <w:szCs w:val="24"/>
              </w:rPr>
              <w:t>- 30 януари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Style w:val="DefaultParagraphFont"/>
                <w:rFonts w:ascii="Times New Roman" w:eastAsia="Times New Roman" w:hAnsi="Times New Roman" w:cs="Times New Roman"/>
                <w:szCs w:val="24"/>
              </w:rPr>
              <w:t>- 30 ноември 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Идентифициране и събиране на необходимите данни и информация </w:t>
            </w:r>
            <w:r>
              <w:rPr>
                <w:rStyle w:val="DefaultParagraphFont"/>
                <w:rFonts w:ascii="Times New Roman" w:eastAsia="Times New Roman" w:hAnsi="Times New Roman" w:cs="Times New Roman"/>
                <w:szCs w:val="24"/>
              </w:rPr>
              <w:t>- 30 април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Изпращане на доклад за оценка на КН за коментари </w:t>
            </w:r>
            <w:r>
              <w:rPr>
                <w:rStyle w:val="DefaultParagraphFont"/>
                <w:rFonts w:ascii="Times New Roman" w:eastAsia="Times New Roman" w:hAnsi="Times New Roman" w:cs="Times New Roman"/>
                <w:szCs w:val="24"/>
              </w:rPr>
              <w:t>– 30 юли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Предаване на окончателен доклад за оценката </w:t>
            </w:r>
            <w:r>
              <w:rPr>
                <w:rStyle w:val="DefaultParagraphFont"/>
                <w:rFonts w:ascii="Times New Roman" w:eastAsia="Times New Roman" w:hAnsi="Times New Roman" w:cs="Times New Roman"/>
                <w:szCs w:val="24"/>
              </w:rPr>
              <w:t>– до одобрение на ПРСР от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39" w:name="_Toc256000139"/>
      <w:r>
        <w:t>Комуникация</w:t>
      </w:r>
      <w:bookmarkEnd w:id="139"/>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9.6. Комуникации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Интернет – публикуване на констатациите от оценките на Интернет страницата на МЗХ и на Интернет страницата на ПРСР (2014-2020), както и на единния информационен портал http://www.eufunds.bg/</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pStyle w:val="Heading2"/>
      </w:pPr>
      <w:bookmarkStart w:id="140" w:name="_Toc256000140"/>
      <w:r>
        <w:t>Ресурси</w:t>
      </w:r>
      <w:bookmarkEnd w:id="140"/>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9.7.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Човешки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Финансови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ИТ ресурси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1" w:name="_Toc256000141"/>
      <w:r>
        <w:t>Финансов план</w:t>
      </w:r>
      <w:bookmarkEnd w:id="141"/>
    </w:p>
    <w:p>
      <w:pPr>
        <w:pStyle w:val="Heading2"/>
      </w:pPr>
      <w:r>
        <w:t xml:space="preserve"> </w:t>
      </w:r>
      <w:bookmarkStart w:id="142" w:name="_Toc256000142"/>
      <w:r>
        <w:t>Годишно участие на ЕЗФРСР в (в евро)</w:t>
      </w:r>
      <w:bookmarkEnd w:id="1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810"/>
        <w:gridCol w:w="1524"/>
        <w:gridCol w:w="1524"/>
        <w:gridCol w:w="1524"/>
        <w:gridCol w:w="1524"/>
        <w:gridCol w:w="1524"/>
        <w:gridCol w:w="1524"/>
        <w:gridCol w:w="1524"/>
        <w:gridCol w:w="1524"/>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450" w:type="pct"/>
            <w:shd w:val="clear" w:color="auto" w:fill="C0C0C0"/>
            <w:noWrap w:val="0"/>
            <w:tcMar>
              <w:top w:w="60" w:type="dxa"/>
            </w:tcMar>
            <w:vAlign w:val="top"/>
          </w:tcPr>
          <w:p>
            <w:pPr>
              <w:jc w:val="center"/>
              <w:rPr>
                <w:b/>
                <w:i w:val="0"/>
                <w:sz w:val="20"/>
              </w:rPr>
            </w:pPr>
            <w:r>
              <w:rPr>
                <w:b/>
                <w:i w:val="0"/>
                <w:sz w:val="20"/>
              </w:rPr>
              <w:t>2014</w:t>
            </w:r>
          </w:p>
        </w:tc>
        <w:tc>
          <w:tcPr>
            <w:tcW w:w="450" w:type="pct"/>
            <w:shd w:val="clear" w:color="auto" w:fill="C0C0C0"/>
            <w:noWrap w:val="0"/>
            <w:tcMar>
              <w:top w:w="60" w:type="dxa"/>
            </w:tcMar>
            <w:vAlign w:val="top"/>
          </w:tcPr>
          <w:p>
            <w:pPr>
              <w:jc w:val="center"/>
              <w:rPr>
                <w:b/>
                <w:i w:val="0"/>
                <w:sz w:val="20"/>
              </w:rPr>
            </w:pPr>
            <w:r>
              <w:rPr>
                <w:b/>
                <w:i w:val="0"/>
                <w:sz w:val="20"/>
              </w:rPr>
              <w:t>2015</w:t>
            </w:r>
          </w:p>
        </w:tc>
        <w:tc>
          <w:tcPr>
            <w:tcW w:w="450" w:type="pct"/>
            <w:shd w:val="clear" w:color="auto" w:fill="C0C0C0"/>
            <w:noWrap w:val="0"/>
            <w:tcMar>
              <w:top w:w="60" w:type="dxa"/>
            </w:tcMar>
            <w:vAlign w:val="top"/>
          </w:tcPr>
          <w:p>
            <w:pPr>
              <w:jc w:val="center"/>
              <w:rPr>
                <w:b/>
                <w:i w:val="0"/>
                <w:sz w:val="20"/>
              </w:rPr>
            </w:pPr>
            <w:r>
              <w:rPr>
                <w:b/>
                <w:i w:val="0"/>
                <w:sz w:val="20"/>
              </w:rPr>
              <w:t>2016</w:t>
            </w:r>
          </w:p>
        </w:tc>
        <w:tc>
          <w:tcPr>
            <w:tcW w:w="450" w:type="pct"/>
            <w:shd w:val="clear" w:color="auto" w:fill="C0C0C0"/>
            <w:noWrap w:val="0"/>
            <w:tcMar>
              <w:top w:w="60" w:type="dxa"/>
            </w:tcMar>
            <w:vAlign w:val="top"/>
          </w:tcPr>
          <w:p>
            <w:pPr>
              <w:jc w:val="center"/>
              <w:rPr>
                <w:b/>
                <w:i w:val="0"/>
                <w:sz w:val="20"/>
              </w:rPr>
            </w:pPr>
            <w:r>
              <w:rPr>
                <w:b/>
                <w:i w:val="0"/>
                <w:sz w:val="20"/>
              </w:rPr>
              <w:t>2017</w:t>
            </w:r>
          </w:p>
        </w:tc>
        <w:tc>
          <w:tcPr>
            <w:tcW w:w="450" w:type="pct"/>
            <w:shd w:val="clear" w:color="auto" w:fill="C0C0C0"/>
            <w:noWrap w:val="0"/>
            <w:tcMar>
              <w:top w:w="60" w:type="dxa"/>
            </w:tcMar>
            <w:vAlign w:val="top"/>
          </w:tcPr>
          <w:p>
            <w:pPr>
              <w:jc w:val="center"/>
              <w:rPr>
                <w:b/>
                <w:i w:val="0"/>
                <w:sz w:val="20"/>
              </w:rPr>
            </w:pPr>
            <w:r>
              <w:rPr>
                <w:b/>
                <w:i w:val="0"/>
                <w:sz w:val="20"/>
              </w:rPr>
              <w:t>2018</w:t>
            </w:r>
          </w:p>
        </w:tc>
        <w:tc>
          <w:tcPr>
            <w:tcW w:w="450" w:type="pct"/>
            <w:shd w:val="clear" w:color="auto" w:fill="C0C0C0"/>
            <w:noWrap w:val="0"/>
            <w:tcMar>
              <w:top w:w="60" w:type="dxa"/>
            </w:tcMar>
            <w:vAlign w:val="top"/>
          </w:tcPr>
          <w:p>
            <w:pPr>
              <w:jc w:val="center"/>
              <w:rPr>
                <w:b/>
                <w:i w:val="0"/>
                <w:sz w:val="20"/>
              </w:rPr>
            </w:pPr>
            <w:r>
              <w:rPr>
                <w:b/>
                <w:i w:val="0"/>
                <w:sz w:val="20"/>
              </w:rPr>
              <w:t>2019</w:t>
            </w:r>
          </w:p>
        </w:tc>
        <w:tc>
          <w:tcPr>
            <w:tcW w:w="450" w:type="pct"/>
            <w:shd w:val="clear" w:color="auto" w:fill="C0C0C0"/>
            <w:noWrap w:val="0"/>
            <w:tcMar>
              <w:top w:w="60" w:type="dxa"/>
            </w:tcMar>
            <w:vAlign w:val="top"/>
          </w:tcPr>
          <w:p>
            <w:pPr>
              <w:jc w:val="center"/>
              <w:rPr>
                <w:b/>
                <w:i w:val="0"/>
                <w:sz w:val="20"/>
              </w:rPr>
            </w:pPr>
            <w:r>
              <w:rPr>
                <w:b/>
                <w:i w:val="0"/>
                <w:sz w:val="20"/>
              </w:rPr>
              <w:t>2020</w:t>
            </w:r>
          </w:p>
        </w:tc>
        <w:tc>
          <w:tcPr>
            <w:tcW w:w="4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502 807 341,00</w:t>
            </w:r>
          </w:p>
        </w:tc>
        <w:tc>
          <w:tcPr>
            <w:tcW w:w="450" w:type="pct"/>
            <w:shd w:val="clear" w:color="auto" w:fill="FFFFFF"/>
            <w:noWrap w:val="0"/>
            <w:tcMar>
              <w:top w:w="60" w:type="dxa"/>
            </w:tcMar>
            <w:vAlign w:val="top"/>
          </w:tcPr>
          <w:p>
            <w:pPr>
              <w:jc w:val="right"/>
              <w:rPr>
                <w:b w:val="0"/>
                <w:i w:val="0"/>
                <w:sz w:val="16"/>
              </w:rPr>
            </w:pPr>
            <w:r>
              <w:rPr>
                <w:b w:val="0"/>
                <w:i w:val="0"/>
                <w:sz w:val="16"/>
              </w:rPr>
              <w:t>502 357 057,00</w:t>
            </w:r>
          </w:p>
        </w:tc>
        <w:tc>
          <w:tcPr>
            <w:tcW w:w="450" w:type="pct"/>
            <w:shd w:val="clear" w:color="auto" w:fill="FFFFFF"/>
            <w:noWrap w:val="0"/>
            <w:tcMar>
              <w:top w:w="60" w:type="dxa"/>
            </w:tcMar>
            <w:vAlign w:val="top"/>
          </w:tcPr>
          <w:p>
            <w:pPr>
              <w:jc w:val="right"/>
              <w:rPr>
                <w:b w:val="0"/>
                <w:i w:val="0"/>
                <w:sz w:val="16"/>
              </w:rPr>
            </w:pPr>
            <w:r>
              <w:rPr>
                <w:b w:val="0"/>
                <w:i w:val="0"/>
                <w:sz w:val="16"/>
              </w:rPr>
              <w:t>334 147 994,00</w:t>
            </w:r>
          </w:p>
        </w:tc>
        <w:tc>
          <w:tcPr>
            <w:tcW w:w="450" w:type="pct"/>
            <w:shd w:val="clear" w:color="auto" w:fill="FFFFFF"/>
            <w:noWrap w:val="0"/>
            <w:tcMar>
              <w:top w:w="60" w:type="dxa"/>
            </w:tcMar>
            <w:vAlign w:val="top"/>
          </w:tcPr>
          <w:p>
            <w:pPr>
              <w:jc w:val="right"/>
              <w:rPr>
                <w:b w:val="0"/>
                <w:i w:val="0"/>
                <w:sz w:val="16"/>
              </w:rPr>
            </w:pPr>
            <w:r>
              <w:rPr>
                <w:b w:val="0"/>
                <w:i w:val="0"/>
                <w:sz w:val="16"/>
              </w:rPr>
              <w:t>333 680 052,00</w:t>
            </w:r>
          </w:p>
        </w:tc>
        <w:tc>
          <w:tcPr>
            <w:tcW w:w="450" w:type="pct"/>
            <w:shd w:val="clear" w:color="auto" w:fill="FFFFFF"/>
            <w:noWrap w:val="0"/>
            <w:tcMar>
              <w:top w:w="60" w:type="dxa"/>
            </w:tcMar>
            <w:vAlign w:val="top"/>
          </w:tcPr>
          <w:p>
            <w:pPr>
              <w:jc w:val="right"/>
              <w:rPr>
                <w:b w:val="0"/>
                <w:i w:val="0"/>
                <w:sz w:val="16"/>
              </w:rPr>
            </w:pPr>
            <w:r>
              <w:rPr>
                <w:b w:val="0"/>
                <w:i w:val="0"/>
                <w:sz w:val="16"/>
              </w:rPr>
              <w:t>333 187 306,00</w:t>
            </w:r>
          </w:p>
        </w:tc>
        <w:tc>
          <w:tcPr>
            <w:tcW w:w="450" w:type="pct"/>
            <w:shd w:val="clear" w:color="auto" w:fill="FFFFFF"/>
            <w:noWrap w:val="0"/>
            <w:tcMar>
              <w:top w:w="60" w:type="dxa"/>
            </w:tcMar>
            <w:vAlign w:val="top"/>
          </w:tcPr>
          <w:p>
            <w:pPr>
              <w:jc w:val="right"/>
              <w:rPr>
                <w:b/>
                <w:i w:val="0"/>
                <w:sz w:val="16"/>
              </w:rPr>
            </w:pPr>
            <w:r>
              <w:rPr>
                <w:b w:val="0"/>
                <w:i w:val="0"/>
                <w:sz w:val="16"/>
              </w:rPr>
              <w:t>332 604 216,00</w:t>
            </w:r>
          </w:p>
        </w:tc>
        <w:tc>
          <w:tcPr>
            <w:tcW w:w="4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2 663 000,00</w:t>
            </w:r>
          </w:p>
        </w:tc>
        <w:tc>
          <w:tcPr>
            <w:tcW w:w="450" w:type="pct"/>
            <w:shd w:val="clear" w:color="auto" w:fill="FFFFFF"/>
            <w:noWrap w:val="0"/>
            <w:tcMar>
              <w:top w:w="60" w:type="dxa"/>
            </w:tcMar>
            <w:vAlign w:val="top"/>
          </w:tcPr>
          <w:p>
            <w:pPr>
              <w:jc w:val="right"/>
              <w:rPr>
                <w:b w:val="0"/>
                <w:i w:val="0"/>
                <w:sz w:val="16"/>
              </w:rPr>
            </w:pPr>
            <w:r>
              <w:rPr>
                <w:b w:val="0"/>
                <w:i w:val="0"/>
                <w:sz w:val="16"/>
              </w:rPr>
              <w:t>6 262 000,00</w:t>
            </w:r>
          </w:p>
        </w:tc>
        <w:tc>
          <w:tcPr>
            <w:tcW w:w="450" w:type="pct"/>
            <w:shd w:val="clear" w:color="auto" w:fill="FFFFFF"/>
            <w:noWrap w:val="0"/>
            <w:tcMar>
              <w:top w:w="60" w:type="dxa"/>
            </w:tcMar>
            <w:vAlign w:val="top"/>
          </w:tcPr>
          <w:p>
            <w:pPr>
              <w:jc w:val="right"/>
              <w:rPr>
                <w:b w:val="0"/>
                <w:i w:val="0"/>
                <w:sz w:val="16"/>
              </w:rPr>
            </w:pPr>
            <w:r>
              <w:rPr>
                <w:b w:val="0"/>
                <w:i w:val="0"/>
                <w:sz w:val="16"/>
              </w:rPr>
              <w:t>6 286 000,00</w:t>
            </w:r>
          </w:p>
        </w:tc>
        <w:tc>
          <w:tcPr>
            <w:tcW w:w="450" w:type="pct"/>
            <w:shd w:val="clear" w:color="auto" w:fill="FFFFFF"/>
            <w:noWrap w:val="0"/>
            <w:tcMar>
              <w:top w:w="60" w:type="dxa"/>
            </w:tcMar>
            <w:vAlign w:val="top"/>
          </w:tcPr>
          <w:p>
            <w:pPr>
              <w:jc w:val="right"/>
              <w:rPr>
                <w:b w:val="0"/>
                <w:i w:val="0"/>
                <w:sz w:val="16"/>
              </w:rPr>
            </w:pPr>
            <w:r>
              <w:rPr>
                <w:b w:val="0"/>
                <w:i w:val="0"/>
                <w:sz w:val="16"/>
              </w:rPr>
              <w:t>6 336 000,00</w:t>
            </w:r>
          </w:p>
        </w:tc>
        <w:tc>
          <w:tcPr>
            <w:tcW w:w="450" w:type="pct"/>
            <w:shd w:val="clear" w:color="auto" w:fill="FFFFFF"/>
            <w:noWrap w:val="0"/>
            <w:tcMar>
              <w:top w:w="60" w:type="dxa"/>
            </w:tcMar>
            <w:vAlign w:val="top"/>
          </w:tcPr>
          <w:p>
            <w:pPr>
              <w:jc w:val="right"/>
              <w:rPr>
                <w:b/>
                <w:i w:val="0"/>
                <w:sz w:val="16"/>
              </w:rPr>
            </w:pPr>
            <w:r>
              <w:rPr>
                <w:b w:val="0"/>
                <w:i w:val="0"/>
                <w:sz w:val="16"/>
              </w:rPr>
              <w:t>6 386 000,00</w:t>
            </w:r>
          </w:p>
        </w:tc>
        <w:tc>
          <w:tcPr>
            <w:tcW w:w="4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450" w:type="pct"/>
            <w:shd w:val="clear" w:color="auto" w:fill="C0C0C0"/>
            <w:noWrap w:val="0"/>
            <w:tcMar>
              <w:top w:w="60" w:type="dxa"/>
            </w:tcMar>
            <w:vAlign w:val="top"/>
          </w:tcPr>
          <w:p>
            <w:pPr>
              <w:jc w:val="left"/>
              <w:rPr>
                <w:b/>
                <w:i w:val="0"/>
                <w:sz w:val="16"/>
              </w:rPr>
            </w:pPr>
            <w:r>
              <w:rPr>
                <w:b/>
                <w:i w:val="0"/>
                <w:sz w:val="16"/>
              </w:rPr>
              <w:t>Общо</w:t>
            </w:r>
          </w:p>
        </w:tc>
        <w:tc>
          <w:tcPr>
            <w:tcW w:w="450" w:type="pct"/>
            <w:shd w:val="clear" w:color="auto" w:fill="C0C0C0"/>
            <w:noWrap w:val="0"/>
            <w:tcMar>
              <w:top w:w="60" w:type="dxa"/>
            </w:tcMar>
            <w:vAlign w:val="top"/>
          </w:tcPr>
          <w:p>
            <w:pPr>
              <w:jc w:val="right"/>
              <w:rPr>
                <w:b/>
                <w:i w:val="0"/>
                <w:sz w:val="16"/>
              </w:rPr>
            </w:pPr>
            <w:r>
              <w:rPr>
                <w:b/>
                <w:i w:val="0"/>
                <w:sz w:val="16"/>
              </w:rPr>
              <w:t>0,00</w:t>
            </w:r>
          </w:p>
        </w:tc>
        <w:tc>
          <w:tcPr>
            <w:tcW w:w="450" w:type="pct"/>
            <w:shd w:val="clear" w:color="auto" w:fill="C0C0C0"/>
            <w:noWrap w:val="0"/>
            <w:tcMar>
              <w:top w:w="60" w:type="dxa"/>
            </w:tcMar>
            <w:vAlign w:val="top"/>
          </w:tcPr>
          <w:p>
            <w:pPr>
              <w:jc w:val="right"/>
              <w:rPr>
                <w:b/>
                <w:i w:val="0"/>
                <w:sz w:val="16"/>
              </w:rPr>
            </w:pPr>
            <w:r>
              <w:rPr>
                <w:b/>
                <w:i w:val="0"/>
                <w:sz w:val="16"/>
              </w:rPr>
              <w:t>502 807 341,00</w:t>
            </w:r>
          </w:p>
        </w:tc>
        <w:tc>
          <w:tcPr>
            <w:tcW w:w="450" w:type="pct"/>
            <w:shd w:val="clear" w:color="auto" w:fill="C0C0C0"/>
            <w:noWrap w:val="0"/>
            <w:tcMar>
              <w:top w:w="60" w:type="dxa"/>
            </w:tcMar>
            <w:vAlign w:val="top"/>
          </w:tcPr>
          <w:p>
            <w:pPr>
              <w:jc w:val="right"/>
              <w:rPr>
                <w:b/>
                <w:i w:val="0"/>
                <w:sz w:val="16"/>
              </w:rPr>
            </w:pPr>
            <w:r>
              <w:rPr>
                <w:b/>
                <w:i w:val="0"/>
                <w:sz w:val="16"/>
              </w:rPr>
              <w:t>505 020 057,00</w:t>
            </w:r>
          </w:p>
        </w:tc>
        <w:tc>
          <w:tcPr>
            <w:tcW w:w="450" w:type="pct"/>
            <w:shd w:val="clear" w:color="auto" w:fill="C0C0C0"/>
            <w:noWrap w:val="0"/>
            <w:tcMar>
              <w:top w:w="60" w:type="dxa"/>
            </w:tcMar>
            <w:vAlign w:val="top"/>
          </w:tcPr>
          <w:p>
            <w:pPr>
              <w:jc w:val="right"/>
              <w:rPr>
                <w:b/>
                <w:i w:val="0"/>
                <w:sz w:val="16"/>
              </w:rPr>
            </w:pPr>
            <w:r>
              <w:rPr>
                <w:b/>
                <w:i w:val="0"/>
                <w:sz w:val="16"/>
              </w:rPr>
              <w:t>340 409 994,00</w:t>
            </w:r>
          </w:p>
        </w:tc>
        <w:tc>
          <w:tcPr>
            <w:tcW w:w="450" w:type="pct"/>
            <w:shd w:val="clear" w:color="auto" w:fill="C0C0C0"/>
            <w:noWrap w:val="0"/>
            <w:tcMar>
              <w:top w:w="60" w:type="dxa"/>
            </w:tcMar>
            <w:vAlign w:val="top"/>
          </w:tcPr>
          <w:p>
            <w:pPr>
              <w:jc w:val="right"/>
              <w:rPr>
                <w:b/>
                <w:i w:val="0"/>
                <w:sz w:val="16"/>
              </w:rPr>
            </w:pPr>
            <w:r>
              <w:rPr>
                <w:b/>
                <w:i w:val="0"/>
                <w:sz w:val="16"/>
              </w:rPr>
              <w:t>339 966 052,00</w:t>
            </w:r>
          </w:p>
        </w:tc>
        <w:tc>
          <w:tcPr>
            <w:tcW w:w="450" w:type="pct"/>
            <w:shd w:val="clear" w:color="auto" w:fill="C0C0C0"/>
            <w:noWrap w:val="0"/>
            <w:tcMar>
              <w:top w:w="60" w:type="dxa"/>
            </w:tcMar>
            <w:vAlign w:val="top"/>
          </w:tcPr>
          <w:p>
            <w:pPr>
              <w:jc w:val="right"/>
              <w:rPr>
                <w:b/>
                <w:i w:val="0"/>
                <w:sz w:val="16"/>
              </w:rPr>
            </w:pPr>
            <w:r>
              <w:rPr>
                <w:b/>
                <w:i w:val="0"/>
                <w:sz w:val="16"/>
              </w:rPr>
              <w:t>339 523 306,00</w:t>
            </w:r>
          </w:p>
        </w:tc>
        <w:tc>
          <w:tcPr>
            <w:tcW w:w="450" w:type="pct"/>
            <w:shd w:val="clear" w:color="auto" w:fill="C0C0C0"/>
            <w:noWrap w:val="0"/>
            <w:tcMar>
              <w:top w:w="60" w:type="dxa"/>
            </w:tcMar>
            <w:vAlign w:val="top"/>
          </w:tcPr>
          <w:p>
            <w:pPr>
              <w:jc w:val="right"/>
              <w:rPr>
                <w:b/>
                <w:i w:val="0"/>
                <w:sz w:val="16"/>
              </w:rPr>
            </w:pPr>
            <w:r>
              <w:rPr>
                <w:b/>
                <w:i w:val="0"/>
                <w:sz w:val="16"/>
              </w:rPr>
              <w:t>338 990 216,00</w:t>
            </w:r>
          </w:p>
        </w:tc>
        <w:tc>
          <w:tcPr>
            <w:tcW w:w="4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450" w:type="pct"/>
            <w:shd w:val="clear" w:color="auto" w:fill="FFFFFF"/>
            <w:noWrap w:val="0"/>
            <w:tcMar>
              <w:top w:w="60" w:type="dxa"/>
            </w:tcMar>
            <w:vAlign w:val="top"/>
          </w:tcPr>
          <w:p>
            <w:pPr>
              <w:jc w:val="right"/>
              <w:rPr>
                <w:b/>
                <w:i w:val="0"/>
                <w:sz w:val="16"/>
              </w:rPr>
            </w:pPr>
            <w:r>
              <w:rPr>
                <w:b/>
                <w:i w:val="0"/>
                <w:sz w:val="16"/>
              </w:rPr>
              <w:t>0,00</w:t>
            </w:r>
          </w:p>
        </w:tc>
        <w:tc>
          <w:tcPr>
            <w:tcW w:w="450" w:type="pct"/>
            <w:shd w:val="clear" w:color="auto" w:fill="FFFFFF"/>
            <w:noWrap w:val="0"/>
            <w:tcMar>
              <w:top w:w="60" w:type="dxa"/>
            </w:tcMar>
            <w:vAlign w:val="top"/>
          </w:tcPr>
          <w:p>
            <w:pPr>
              <w:jc w:val="right"/>
              <w:rPr>
                <w:b/>
                <w:i w:val="0"/>
                <w:sz w:val="16"/>
              </w:rPr>
            </w:pPr>
            <w:r>
              <w:rPr>
                <w:b/>
                <w:i w:val="0"/>
                <w:sz w:val="16"/>
              </w:rPr>
              <w:t>30 168 440,46</w:t>
            </w:r>
          </w:p>
        </w:tc>
        <w:tc>
          <w:tcPr>
            <w:tcW w:w="450" w:type="pct"/>
            <w:shd w:val="clear" w:color="auto" w:fill="FFFFFF"/>
            <w:noWrap w:val="0"/>
            <w:tcMar>
              <w:top w:w="60" w:type="dxa"/>
            </w:tcMar>
            <w:vAlign w:val="top"/>
          </w:tcPr>
          <w:p>
            <w:pPr>
              <w:jc w:val="right"/>
              <w:rPr>
                <w:b/>
                <w:i w:val="0"/>
                <w:sz w:val="16"/>
              </w:rPr>
            </w:pPr>
            <w:r>
              <w:rPr>
                <w:b/>
                <w:i w:val="0"/>
                <w:sz w:val="16"/>
              </w:rPr>
              <w:t>30 141 423,42</w:t>
            </w:r>
          </w:p>
        </w:tc>
        <w:tc>
          <w:tcPr>
            <w:tcW w:w="450" w:type="pct"/>
            <w:shd w:val="clear" w:color="auto" w:fill="FFFFFF"/>
            <w:noWrap w:val="0"/>
            <w:tcMar>
              <w:top w:w="60" w:type="dxa"/>
            </w:tcMar>
            <w:vAlign w:val="top"/>
          </w:tcPr>
          <w:p>
            <w:pPr>
              <w:jc w:val="right"/>
              <w:rPr>
                <w:b/>
                <w:i w:val="0"/>
                <w:sz w:val="16"/>
              </w:rPr>
            </w:pPr>
            <w:r>
              <w:rPr>
                <w:b/>
                <w:i w:val="0"/>
                <w:sz w:val="16"/>
              </w:rPr>
              <w:t>20 048 879,64</w:t>
            </w:r>
          </w:p>
        </w:tc>
        <w:tc>
          <w:tcPr>
            <w:tcW w:w="450" w:type="pct"/>
            <w:shd w:val="clear" w:color="auto" w:fill="FFFFFF"/>
            <w:noWrap w:val="0"/>
            <w:tcMar>
              <w:top w:w="60" w:type="dxa"/>
            </w:tcMar>
            <w:vAlign w:val="top"/>
          </w:tcPr>
          <w:p>
            <w:pPr>
              <w:jc w:val="right"/>
              <w:rPr>
                <w:b/>
                <w:i w:val="0"/>
                <w:sz w:val="16"/>
              </w:rPr>
            </w:pPr>
            <w:r>
              <w:rPr>
                <w:b/>
                <w:i w:val="0"/>
                <w:sz w:val="16"/>
              </w:rPr>
              <w:t>20 020 803,12</w:t>
            </w:r>
          </w:p>
        </w:tc>
        <w:tc>
          <w:tcPr>
            <w:tcW w:w="450" w:type="pct"/>
            <w:shd w:val="clear" w:color="auto" w:fill="FFFFFF"/>
            <w:noWrap w:val="0"/>
            <w:tcMar>
              <w:top w:w="60" w:type="dxa"/>
            </w:tcMar>
            <w:vAlign w:val="top"/>
          </w:tcPr>
          <w:p>
            <w:pPr>
              <w:jc w:val="right"/>
              <w:rPr>
                <w:b/>
                <w:i w:val="0"/>
                <w:sz w:val="16"/>
              </w:rPr>
            </w:pPr>
            <w:r>
              <w:rPr>
                <w:b/>
                <w:i w:val="0"/>
                <w:sz w:val="16"/>
              </w:rPr>
              <w:t>19 991 238,36</w:t>
            </w:r>
          </w:p>
        </w:tc>
        <w:tc>
          <w:tcPr>
            <w:tcW w:w="450" w:type="pct"/>
            <w:shd w:val="clear" w:color="auto" w:fill="FFFFFF"/>
            <w:noWrap w:val="0"/>
            <w:tcMar>
              <w:top w:w="60" w:type="dxa"/>
            </w:tcMar>
            <w:vAlign w:val="top"/>
          </w:tcPr>
          <w:p>
            <w:pPr>
              <w:jc w:val="right"/>
              <w:rPr>
                <w:b/>
                <w:i w:val="0"/>
                <w:sz w:val="16"/>
              </w:rPr>
            </w:pPr>
            <w:r>
              <w:rPr>
                <w:b/>
                <w:i w:val="0"/>
                <w:sz w:val="16"/>
              </w:rPr>
              <w:t>19 956 252,96</w:t>
            </w:r>
          </w:p>
        </w:tc>
        <w:tc>
          <w:tcPr>
            <w:tcW w:w="4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1 302 408 594,20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143" w:name="_Toc256000143"/>
      <w:r>
        <w:t>Единно процентно участие на ЕЗФРСР за всички мерки с разбивка по вид регион, съгласно посоченото в член 59, параграф 3 от Регламент (ЕС) № 1305/2013</w:t>
      </w:r>
      <w:bookmarkEnd w:id="1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4" w:name="_Toc256000144"/>
      <w:r>
        <w:rPr>
          <w:b/>
        </w:rPr>
        <w:t>Разбивката по мярка или вид операция, с конкретния размер на процентното участие на ЕЗФРСР (в евро за целия период 2014 — 2020 г.)</w:t>
      </w:r>
      <w:bookmarkEnd w:id="144"/>
    </w:p>
    <w:p>
      <w:pPr>
        <w:pStyle w:val="Heading3"/>
        <w:jc w:val="left"/>
        <w:rPr>
          <w:b w:val="0"/>
        </w:rPr>
      </w:pPr>
      <w:bookmarkStart w:id="145" w:name="_Toc256000145"/>
      <w:r>
        <w:rPr>
          <w:b w:val="0"/>
        </w:rPr>
        <w:t>М01 — Трансфер на знания и действия за осведомяване (член 14)</w:t>
      </w:r>
      <w:bookmarkEnd w:id="1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5 310 000,00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22 855 136,00</w:t>
            </w:r>
          </w:p>
        </w:tc>
      </w:tr>
    </w:tbl>
    <w:p>
      <w:pPr>
        <w:pStyle w:val="Heading3"/>
        <w:jc w:val="left"/>
        <w:rPr>
          <w:b w:val="0"/>
        </w:rPr>
      </w:pPr>
      <w:r>
        <w:rPr>
          <w:b/>
        </w:rPr>
        <w:br w:type="page"/>
      </w:r>
      <w:bookmarkStart w:id="146" w:name="_Toc256000146"/>
      <w:r>
        <w:rPr>
          <w:b w:val="0"/>
        </w:rPr>
        <w:t>М02 —  Консултантски услуги, услуги по управление на стопанство и услуги по заместване в стопанство (член 15)</w:t>
      </w:r>
      <w:bookmarkEnd w:id="1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12 431 250,00 (2A)</w:t>
            </w:r>
          </w:p>
          <w:p>
            <w:pPr>
              <w:jc w:val="right"/>
              <w:rPr>
                <w:b w:val="0"/>
                <w:sz w:val="16"/>
              </w:rPr>
            </w:pPr>
            <w:r>
              <w:rPr>
                <w:b w:val="0"/>
                <w:sz w:val="16"/>
              </w:rPr>
              <w:t>1 148 957,00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1 126 520,00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183 222,00 (5C)</w:t>
            </w:r>
          </w:p>
          <w:p>
            <w:pPr>
              <w:jc w:val="right"/>
              <w:rPr>
                <w:b w:val="0"/>
                <w:sz w:val="16"/>
              </w:rPr>
            </w:pPr>
            <w:r>
              <w:rPr>
                <w:b w:val="0"/>
                <w:sz w:val="16"/>
              </w:rPr>
              <w:t>243 015,00 (5D)</w:t>
            </w:r>
          </w:p>
          <w:p>
            <w:pPr>
              <w:jc w:val="right"/>
              <w:rPr>
                <w:b w:val="0"/>
                <w:sz w:val="16"/>
              </w:rPr>
            </w:pPr>
            <w:r>
              <w:rPr>
                <w:b w:val="0"/>
                <w:sz w:val="16"/>
              </w:rPr>
              <w:t>235 875,00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16 908 274,00</w:t>
            </w:r>
          </w:p>
        </w:tc>
      </w:tr>
    </w:tbl>
    <w:p>
      <w:pPr>
        <w:pStyle w:val="Heading3"/>
        <w:jc w:val="left"/>
        <w:rPr>
          <w:b w:val="0"/>
        </w:rPr>
      </w:pPr>
      <w:r>
        <w:rPr>
          <w:b/>
        </w:rPr>
        <w:br w:type="page"/>
      </w:r>
      <w:bookmarkStart w:id="147" w:name="_Toc256000147"/>
      <w:r>
        <w:rPr>
          <w:b w:val="0"/>
        </w:rPr>
        <w:t>M04 — Инвестиции в материални активи (член 17)</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140 011 486,00 (2A)</w:t>
            </w:r>
          </w:p>
          <w:p>
            <w:pPr>
              <w:jc w:val="right"/>
              <w:rPr>
                <w:b w:val="0"/>
                <w:sz w:val="16"/>
              </w:rPr>
            </w:pPr>
            <w:r>
              <w:rPr>
                <w:b w:val="0"/>
                <w:sz w:val="16"/>
              </w:rPr>
              <w:t>17 850 000,00 (2B)</w:t>
            </w:r>
          </w:p>
          <w:p>
            <w:pPr>
              <w:jc w:val="right"/>
              <w:rPr>
                <w:b w:val="0"/>
                <w:sz w:val="16"/>
              </w:rPr>
            </w:pPr>
            <w:r>
              <w:rPr>
                <w:b w:val="0"/>
                <w:sz w:val="16"/>
              </w:rPr>
              <w:t>163 116 255,00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118 618 090,00 (P4)</w:t>
            </w:r>
          </w:p>
          <w:p>
            <w:pPr>
              <w:jc w:val="right"/>
              <w:rPr>
                <w:b w:val="0"/>
                <w:sz w:val="16"/>
              </w:rPr>
            </w:pPr>
            <w:r>
              <w:rPr>
                <w:b w:val="0"/>
                <w:sz w:val="16"/>
              </w:rPr>
              <w:t>74 974 395,00 (5A)</w:t>
            </w:r>
          </w:p>
          <w:p>
            <w:pPr>
              <w:jc w:val="right"/>
              <w:rPr>
                <w:b w:val="0"/>
                <w:sz w:val="16"/>
              </w:rPr>
            </w:pPr>
            <w:r>
              <w:rPr>
                <w:b w:val="0"/>
                <w:sz w:val="16"/>
              </w:rPr>
              <w:t>89 268 350,00 (5B)</w:t>
            </w:r>
          </w:p>
          <w:p>
            <w:pPr>
              <w:jc w:val="right"/>
              <w:rPr>
                <w:b w:val="0"/>
                <w:sz w:val="16"/>
              </w:rPr>
            </w:pPr>
            <w:r>
              <w:rPr>
                <w:b w:val="0"/>
                <w:sz w:val="16"/>
              </w:rPr>
              <w:t>32 501 117,00 (5C)</w:t>
            </w:r>
          </w:p>
          <w:p>
            <w:pPr>
              <w:jc w:val="right"/>
              <w:rPr>
                <w:b w:val="0"/>
                <w:sz w:val="16"/>
              </w:rPr>
            </w:pPr>
            <w:r>
              <w:rPr>
                <w:b w:val="0"/>
                <w:sz w:val="16"/>
              </w:rPr>
              <w:t>32 062 233,00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668 401 926,00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347 424 185,00</w:t>
            </w:r>
          </w:p>
        </w:tc>
      </w:tr>
    </w:tbl>
    <w:p>
      <w:pPr>
        <w:pStyle w:val="Heading3"/>
        <w:jc w:val="left"/>
        <w:rPr>
          <w:b w:val="0"/>
        </w:rPr>
      </w:pPr>
      <w:r>
        <w:rPr>
          <w:b/>
        </w:rPr>
        <w:br w:type="page"/>
      </w:r>
      <w:bookmarkStart w:id="148" w:name="_Toc256000148"/>
      <w:r>
        <w:rPr>
          <w:b w:val="0"/>
        </w:rPr>
        <w:t>M06 — Развитие на стопанства и предприятия (член 19)</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51 803 500,00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108 753 455,00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40 928 719,00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233 887 590,00</w:t>
            </w:r>
          </w:p>
        </w:tc>
      </w:tr>
    </w:tbl>
    <w:p>
      <w:pPr>
        <w:pStyle w:val="Heading3"/>
        <w:jc w:val="left"/>
        <w:rPr>
          <w:b w:val="0"/>
        </w:rPr>
      </w:pPr>
      <w:r>
        <w:rPr>
          <w:b/>
        </w:rPr>
        <w:br w:type="page"/>
      </w:r>
      <w:bookmarkStart w:id="149" w:name="_Toc256000149"/>
      <w:r>
        <w:rPr>
          <w:b w:val="0"/>
        </w:rPr>
        <w:t>М07 — Основни услуги и обновяване на селата в селските райони (член 20)</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25 500 000,00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531 867 024,00</w:t>
            </w:r>
          </w:p>
        </w:tc>
      </w:tr>
    </w:tbl>
    <w:p>
      <w:pPr>
        <w:pStyle w:val="Heading3"/>
        <w:jc w:val="left"/>
        <w:rPr>
          <w:b w:val="0"/>
        </w:rPr>
      </w:pPr>
      <w:r>
        <w:rPr>
          <w:b/>
        </w:rPr>
        <w:br w:type="page"/>
      </w:r>
      <w:bookmarkStart w:id="150" w:name="_Toc256000150"/>
      <w:r>
        <w:rPr>
          <w:b w:val="0"/>
        </w:rPr>
        <w:t>М08 — Инвестиции в развитие на горските райони и подобряване на жизнеспособността на горите (членове 21 — 26)</w:t>
      </w:r>
      <w:bookmarkEnd w:id="1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15 300 000,00 (2C+)</w:t>
            </w:r>
          </w:p>
          <w:p>
            <w:pPr>
              <w:jc w:val="right"/>
              <w:rPr>
                <w:b w:val="0"/>
                <w:sz w:val="16"/>
              </w:rPr>
            </w:pPr>
            <w:r>
              <w:rPr>
                <w:b w:val="0"/>
                <w:sz w:val="16"/>
              </w:rPr>
              <w:t>14 500 657,00 (P4)</w:t>
            </w:r>
          </w:p>
          <w:p>
            <w:pPr>
              <w:jc w:val="right"/>
              <w:rPr>
                <w:b w:val="0"/>
                <w:sz w:val="16"/>
              </w:rPr>
            </w:pPr>
            <w:r>
              <w:rPr>
                <w:b w:val="0"/>
                <w:sz w:val="16"/>
              </w:rPr>
              <w:t>16 362 500,00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53 076 491,00</w:t>
            </w:r>
          </w:p>
        </w:tc>
      </w:tr>
    </w:tbl>
    <w:p>
      <w:pPr>
        <w:pStyle w:val="Heading3"/>
        <w:jc w:val="left"/>
        <w:rPr>
          <w:b w:val="0"/>
        </w:rPr>
      </w:pPr>
      <w:r>
        <w:rPr>
          <w:b/>
        </w:rPr>
        <w:br w:type="page"/>
      </w:r>
      <w:bookmarkStart w:id="151" w:name="_Toc256000151"/>
      <w:r>
        <w:rPr>
          <w:b w:val="0"/>
        </w:rPr>
        <w:t>M09 — Създаване на групи и организации на производителите (член 27)</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7 016 352,00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7 016 352,00</w:t>
            </w:r>
          </w:p>
        </w:tc>
      </w:tr>
    </w:tbl>
    <w:p>
      <w:pPr>
        <w:pStyle w:val="Heading3"/>
        <w:jc w:val="left"/>
        <w:rPr>
          <w:b w:val="0"/>
        </w:rPr>
      </w:pPr>
      <w:r>
        <w:rPr>
          <w:b/>
        </w:rPr>
        <w:br w:type="page"/>
      </w:r>
      <w:bookmarkStart w:id="152" w:name="_Toc256000152"/>
      <w:r>
        <w:rPr>
          <w:b w:val="0"/>
        </w:rPr>
        <w:t>M10 — Агроекология и климат (член 28)</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161 510 002,00 (P4)</w:t>
            </w:r>
          </w:p>
          <w:p>
            <w:pPr>
              <w:jc w:val="right"/>
              <w:rPr>
                <w:b w:val="0"/>
                <w:sz w:val="16"/>
              </w:rPr>
            </w:pPr>
            <w:r>
              <w:rPr>
                <w:b w:val="0"/>
                <w:sz w:val="16"/>
              </w:rPr>
              <w:t>6 000 000,00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153" w:name="_Toc256000153"/>
      <w:r>
        <w:rPr>
          <w:b w:val="0"/>
        </w:rPr>
        <w:t>М11 — Биологично земеделие (член 29)</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113 695 079,00</w:t>
            </w:r>
          </w:p>
        </w:tc>
      </w:tr>
    </w:tbl>
    <w:p>
      <w:pPr>
        <w:pStyle w:val="Heading3"/>
        <w:jc w:val="left"/>
        <w:rPr>
          <w:b w:val="0"/>
        </w:rPr>
      </w:pPr>
      <w:r>
        <w:rPr>
          <w:b/>
        </w:rPr>
        <w:br w:type="page"/>
      </w:r>
      <w:bookmarkStart w:id="154" w:name="_Toc256000154"/>
      <w:r>
        <w:rPr>
          <w:b w:val="0"/>
        </w:rPr>
        <w:t>M12 — Плащания по „Натура 2000“ и Рамковата директива за водите (член 30)</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sz w:val="16"/>
              </w:rPr>
              <w:t>0,00</w:t>
            </w:r>
          </w:p>
        </w:tc>
      </w:tr>
    </w:tbl>
    <w:p>
      <w:pPr>
        <w:pStyle w:val="Heading3"/>
        <w:jc w:val="left"/>
        <w:rPr>
          <w:b w:val="0"/>
        </w:rPr>
      </w:pPr>
      <w:r>
        <w:rPr>
          <w:b/>
        </w:rPr>
        <w:br w:type="page"/>
      </w:r>
      <w:bookmarkStart w:id="155" w:name="_Toc256000155"/>
      <w:r>
        <w:rPr>
          <w:b w:val="0"/>
        </w:rPr>
        <w:t>М13 — Плащания за райони, изправени пред природни или други специфични ограничения (член 31)</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206 703 506,00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206 703 506,00</w:t>
            </w:r>
          </w:p>
        </w:tc>
      </w:tr>
    </w:tbl>
    <w:p>
      <w:pPr>
        <w:pStyle w:val="Heading3"/>
        <w:jc w:val="left"/>
        <w:rPr>
          <w:b w:val="0"/>
        </w:rPr>
      </w:pPr>
      <w:r>
        <w:rPr>
          <w:b/>
        </w:rPr>
        <w:br w:type="page"/>
      </w:r>
      <w:bookmarkStart w:id="156" w:name="_Toc256000156"/>
      <w:r>
        <w:rPr>
          <w:b w:val="0"/>
        </w:rPr>
        <w:t>M14 — Хуманно отношение към животните (член 33)</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48 330 584,00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48 330 584,00</w:t>
            </w:r>
          </w:p>
        </w:tc>
      </w:tr>
    </w:tbl>
    <w:p>
      <w:pPr>
        <w:pStyle w:val="Heading3"/>
        <w:jc w:val="left"/>
        <w:rPr>
          <w:b w:val="0"/>
        </w:rPr>
      </w:pPr>
      <w:r>
        <w:rPr>
          <w:b/>
        </w:rPr>
        <w:br w:type="page"/>
      </w:r>
      <w:bookmarkStart w:id="157" w:name="_Toc256000157"/>
      <w:r>
        <w:rPr>
          <w:b w:val="0"/>
        </w:rPr>
        <w:t>М15 — Екологични услуги и услуги във връзка с климата в горското стопанство и опазване на горите (член 34)</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6 562 500,00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6 562 500,00</w:t>
            </w:r>
          </w:p>
        </w:tc>
      </w:tr>
    </w:tbl>
    <w:p>
      <w:pPr>
        <w:pStyle w:val="Heading3"/>
        <w:jc w:val="left"/>
        <w:rPr>
          <w:b w:val="0"/>
        </w:rPr>
      </w:pPr>
      <w:r>
        <w:rPr>
          <w:b/>
        </w:rPr>
        <w:br w:type="page"/>
      </w:r>
      <w:bookmarkStart w:id="158" w:name="_Toc256000158"/>
      <w:r>
        <w:rPr>
          <w:b w:val="0"/>
        </w:rPr>
        <w:t>M16 — Сътрудничество (член 35)</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8 716 351,00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29 316 351,00</w:t>
            </w:r>
          </w:p>
        </w:tc>
      </w:tr>
    </w:tbl>
    <w:p>
      <w:pPr>
        <w:pStyle w:val="Heading3"/>
        <w:jc w:val="left"/>
        <w:rPr>
          <w:b w:val="0"/>
        </w:rPr>
      </w:pPr>
      <w:r>
        <w:rPr>
          <w:b/>
        </w:rPr>
        <w:br w:type="page"/>
      </w:r>
      <w:bookmarkStart w:id="159" w:name="_Toc256000159"/>
      <w:r>
        <w:rPr>
          <w:b w:val="0"/>
        </w:rPr>
        <w:t>M19 — Подкрепа за местно развитие по LEADER (ВОМР — водено от общностите местно развитие) (член 35 от Регламент (ЕС) № 1303/2013)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118 335 849,00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118 335 849,00</w:t>
            </w:r>
          </w:p>
        </w:tc>
      </w:tr>
    </w:tbl>
    <w:p>
      <w:pPr>
        <w:pStyle w:val="Heading3"/>
        <w:jc w:val="left"/>
        <w:rPr>
          <w:b w:val="0"/>
        </w:rPr>
      </w:pPr>
      <w:r>
        <w:rPr>
          <w:b/>
        </w:rPr>
        <w:br w:type="page"/>
      </w:r>
      <w:bookmarkStart w:id="160" w:name="_Toc256000160"/>
      <w:r>
        <w:rPr>
          <w:b w:val="0"/>
        </w:rPr>
        <w:t>М20 — Техническа помощ държави членки (членове 51 — 54)</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rPr>
          <w:b/>
        </w:rPr>
        <w:sectPr>
          <w:pgSz w:w="15840" w:h="12240" w:orient="landscape"/>
          <w:pgMar w:top="900" w:right="900" w:bottom="900" w:left="900" w:header="720" w:footer="720"/>
          <w:cols w:space="720"/>
        </w:sectPr>
      </w:pPr>
    </w:p>
    <w:p>
      <w:pPr>
        <w:pStyle w:val="Heading2"/>
      </w:pPr>
      <w:bookmarkStart w:id="161" w:name="_Toc256000161"/>
      <w:r>
        <w:t>Ориентировъчна разбивка по мярка за всяка подпрограма</w:t>
      </w:r>
      <w:bookmarkEnd w:id="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23 872 557,00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56 272 416,00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2" w:name="_Toc256000162"/>
      <w:r>
        <w:t>План на показателите</w:t>
      </w:r>
      <w:bookmarkEnd w:id="162"/>
    </w:p>
    <w:p>
      <w:pPr>
        <w:pStyle w:val="Heading2"/>
      </w:pPr>
      <w:bookmarkStart w:id="163" w:name="_Toc256000163"/>
      <w:r>
        <w:t>План на показателите</w:t>
      </w:r>
      <w:bookmarkEnd w:id="163"/>
    </w:p>
    <w:p>
      <w:pPr>
        <w:pStyle w:val="Heading3"/>
        <w:jc w:val="left"/>
        <w:rPr>
          <w:b w:val="0"/>
        </w:rPr>
      </w:pPr>
      <w:bookmarkStart w:id="164" w:name="_Toc256000164"/>
      <w:r>
        <w:rPr>
          <w:b w:val="0"/>
        </w:rPr>
        <w:t>P1: Стимулиране на трансфера на знания и иновациите в областта на селското и горското стопанство и селските райони</w:t>
      </w:r>
      <w:bookmarkEnd w:id="164"/>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2 917 848 203,00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разходи (област с поставен акцент 1А)</w:t>
            </w:r>
          </w:p>
        </w:tc>
        <w:tc>
          <w:tcPr>
            <w:tcW w:w="1000" w:type="pct"/>
            <w:shd w:val="clear" w:color="auto" w:fill="FFFFFF"/>
            <w:noWrap w:val="0"/>
            <w:tcMar>
              <w:top w:w="60" w:type="dxa"/>
            </w:tcMar>
            <w:vAlign w:val="center"/>
          </w:tcPr>
          <w:p>
            <w:pPr>
              <w:spacing w:before="20" w:after="20"/>
              <w:jc w:val="right"/>
              <w:rPr>
                <w:b w:val="0"/>
                <w:sz w:val="16"/>
              </w:rPr>
            </w:pPr>
            <w:r>
              <w:rPr>
                <w:b w:val="0"/>
                <w:sz w:val="16"/>
              </w:rPr>
              <w:t>77 860 406,80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25 394 595,00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19 892 087,30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32 573 724,50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165" w:name="_Toc256000165"/>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5"/>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0,94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14 625 000,00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239 255 663,30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21 000 000,00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bl>
    <w:p>
      <w:pPr>
        <w:sectPr>
          <w:pgMar w:top="900" w:right="900" w:bottom="900" w:left="900" w:header="720" w:footer="720"/>
          <w:cols w:space="720"/>
        </w:sectPr>
      </w:pPr>
    </w:p>
    <w:p>
      <w:pPr>
        <w:pStyle w:val="Heading3"/>
        <w:jc w:val="left"/>
        <w:rPr>
          <w:b w:val="0"/>
        </w:rPr>
      </w:pPr>
      <w:bookmarkStart w:id="166" w:name="_Toc256000166"/>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66"/>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1 555,00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380 994 417,70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191 901 476,50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7 795 946,60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56 859 510,50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bl>
    <w:p>
      <w:pPr>
        <w:sectPr>
          <w:pgMar w:top="900" w:right="900" w:bottom="900" w:left="900" w:header="720" w:footer="720"/>
          <w:cols w:space="720"/>
        </w:sectPr>
      </w:pPr>
    </w:p>
    <w:p>
      <w:pPr>
        <w:pStyle w:val="Heading3"/>
        <w:jc w:val="left"/>
        <w:rPr>
          <w:b w:val="0"/>
        </w:rPr>
      </w:pPr>
      <w:bookmarkStart w:id="167" w:name="_Toc256000167"/>
      <w:r>
        <w:rPr>
          <w:b w:val="0"/>
        </w:rPr>
        <w:t>P4: Възстановяване, опазване и укрепване на екосистемите, свързани със селското и горското стопанство</w:t>
      </w:r>
      <w:bookmarkEnd w:id="167"/>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5 900 000,00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1 325 318,00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936,00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258 084 643,30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158 157 452,70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215 346 669,30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275 604 674,70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9 684 835,60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Райони по договори за опазване на околната среда в горите (15.1)</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8 750 000,00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действия, свързани с генетичните ресурси (15.2)</w:t>
            </w:r>
          </w:p>
        </w:tc>
        <w:tc>
          <w:tcPr>
            <w:tcW w:w="1000" w:type="pct"/>
            <w:shd w:val="clear" w:color="auto" w:fill="FFFFFF"/>
            <w:noWrap w:val="0"/>
            <w:tcMar>
              <w:top w:w="60" w:type="dxa"/>
            </w:tcMar>
            <w:vAlign w:val="center"/>
          </w:tcPr>
          <w:p>
            <w:pPr>
              <w:spacing w:before="20" w:after="20"/>
              <w:jc w:val="right"/>
              <w:rPr>
                <w:b w:val="0"/>
                <w:sz w:val="16"/>
              </w:rPr>
            </w:pPr>
            <w:r>
              <w:rPr>
                <w:b w:val="0"/>
                <w:sz w:val="16"/>
              </w:rPr>
              <w:t>1 500 000,00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537 000,00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2,56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2,52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1,18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2,31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68" w:name="_Toc256000168"/>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68"/>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49,78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45 000,00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45 000,00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99 965 860,00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216 674 111,30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216 674 111,30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119 024 466,80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149 544 703,80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215 555,30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215,00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79 544 703,80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43 334 822,30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18 105,00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1,58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285 900,00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18 105,00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71 249 407,50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42 749 644,50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277 500,00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11 250 000,00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169" w:name="_Toc256000169"/>
      <w:r>
        <w:rPr>
          <w:b w:val="0"/>
        </w:rPr>
        <w:t>P6: Насърчаване на социалното приобщаване, намаляването на бедността и икономическото развитие в селските райони</w:t>
      </w:r>
      <w:bookmarkEnd w:id="169"/>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4 270,00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1 600,00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161 421 952,20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127 945 241,00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specific rural definition used for targets T21; T22 and T24 (if relevant)</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570,00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250,00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4 766 442,20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90 163 875,60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30 053 958,90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specific rural definition used for targets T21; T22 and T24 (if relevant)</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19,00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98 000,00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30 000 000,00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0" w:name="_Toc256000170"/>
      <w:r>
        <w:t>Преглед на планираното изпълнение и на планираните разходи по мерки и по области с поставен акцент (генериран автоматично)</w:t>
      </w:r>
      <w:bookmarkEnd w:id="1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07"/>
        <w:gridCol w:w="1535"/>
        <w:gridCol w:w="931"/>
        <w:gridCol w:w="873"/>
        <w:gridCol w:w="787"/>
        <w:gridCol w:w="931"/>
        <w:gridCol w:w="643"/>
        <w:gridCol w:w="456"/>
        <w:gridCol w:w="448"/>
        <w:gridCol w:w="448"/>
        <w:gridCol w:w="815"/>
        <w:gridCol w:w="931"/>
        <w:gridCol w:w="873"/>
        <w:gridCol w:w="873"/>
        <w:gridCol w:w="815"/>
        <w:gridCol w:w="931"/>
        <w:gridCol w:w="931"/>
        <w:gridCol w:w="787"/>
        <w:gridCol w:w="101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5,900,000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25,394,595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14,625,000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1,325,318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215,555.3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285,900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277,500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19,892,087.3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239,255,663.3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35,000,000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380,994,417.7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258,084,643.3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99,965,860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216,674,111.3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79,544,703.8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71,249,407.5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1,380,768,806.9</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164,719,395.7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191,901,476.5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158,157,452.7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99,965,860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119,024,466.8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43,334,822.3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42,749,644.5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840,853,118.5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161,421,952.2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304,137,815.4</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127,945,241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270,661,104.2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215,346,669.3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275,604,674.7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275,604,674.7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Райони по договори за опазване на околната среда в горите (15.1)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90,600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8,750,000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8,750,000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9,684,835.6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32,573,724.5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4,766,442.2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90,163,875.6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30,053,958.9</w:t>
            </w:r>
          </w:p>
        </w:tc>
      </w:tr>
    </w:tbl>
    <w:p>
      <w:pPr>
        <w:sectPr>
          <w:pgSz w:w="15840" w:h="12240" w:orient="landscape"/>
          <w:pgMar w:top="900" w:right="46" w:bottom="900" w:left="46" w:header="720" w:footer="720"/>
          <w:cols w:space="720"/>
        </w:sectPr>
      </w:pPr>
    </w:p>
    <w:p>
      <w:pPr>
        <w:pStyle w:val="Heading2"/>
      </w:pPr>
      <w:bookmarkStart w:id="171" w:name="_Toc256000171"/>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052"/>
        <w:gridCol w:w="6173"/>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М15 — Екологични услуги и услуги във връзка с климата в горското стопанство и опазване на горите (член 34)</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2" w:name="_Toc256000172"/>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2"/>
    </w:p>
    <w:p>
      <w:pPr>
        <w:pStyle w:val="Heading3"/>
        <w:jc w:val="left"/>
        <w:rPr>
          <w:b w:val="0"/>
        </w:rPr>
      </w:pPr>
      <w:r>
        <w:rPr>
          <w:b w:val="0"/>
        </w:rPr>
        <w:t xml:space="preserve"> </w:t>
      </w:r>
      <w:bookmarkStart w:id="173" w:name="_Toc256000173"/>
      <w:r>
        <w:rPr>
          <w:b w:val="0"/>
        </w:rPr>
        <w:t>Земеделска земя</w:t>
      </w:r>
      <w:bookmarkEnd w:id="173"/>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72 420 000,00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8 000 000,00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35 726 624,00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4" w:name="_Toc256000174"/>
      <w:r>
        <w:rPr>
          <w:b w:val="0"/>
        </w:rPr>
        <w:t>Горски площи</w:t>
      </w:r>
      <w:bookmarkEnd w:id="174"/>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11 250 000,00</w:t>
            </w:r>
          </w:p>
        </w:tc>
        <w:tc>
          <w:tcPr>
            <w:tcW w:w="750" w:type="pct"/>
            <w:shd w:val="clear" w:color="auto" w:fill="FFFFFF"/>
            <w:noWrap w:val="0"/>
            <w:tcMar>
              <w:top w:w="60" w:type="dxa"/>
            </w:tcMar>
            <w:vAlign w:val="top"/>
          </w:tcPr>
          <w:p>
            <w:pPr>
              <w:jc w:val="right"/>
              <w:rPr>
                <w:b w:val="0"/>
                <w:sz w:val="16"/>
              </w:rPr>
            </w:pPr>
            <w:r>
              <w:rPr>
                <w:b w:val="0"/>
                <w:sz w:val="16"/>
              </w:rPr>
              <w:t>1 500,00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5" w:name="_Toc256000175"/>
      <w:r>
        <w:t>Специфични за програмата цел и изпълнение</w:t>
      </w:r>
      <w:bookmarkEnd w:id="175"/>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76" w:name="_Toc256000176"/>
      <w:r>
        <w:t>Допълнително национално финансиране</w:t>
      </w:r>
      <w:bookmarkEnd w:id="176"/>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77" w:name="_Toc256000177"/>
      <w:r>
        <w:rPr>
          <w:b/>
          <w:i w:val="0"/>
        </w:rPr>
        <w:t>М01 — Трансфер на знания и действия за осведомяване (член 14)</w:t>
      </w:r>
      <w:bookmarkEnd w:id="17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78" w:name="_Toc256000178"/>
      <w:r>
        <w:rPr>
          <w:b/>
          <w:i w:val="0"/>
        </w:rPr>
        <w:t>М02 —  Консултантски услуги, услуги по управление на стопанство и услуги по заместване в стопанство (член 15)</w:t>
      </w:r>
      <w:bookmarkEnd w:id="17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79" w:name="_Toc256000179"/>
      <w:r>
        <w:rPr>
          <w:b/>
          <w:i w:val="0"/>
        </w:rPr>
        <w:t>M04 — Инвестиции в материални активи (член 17)</w:t>
      </w:r>
      <w:bookmarkEnd w:id="17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0" w:name="_Toc256000180"/>
      <w:r>
        <w:rPr>
          <w:b/>
          <w:i w:val="0"/>
        </w:rPr>
        <w:t>M06 — Развитие на стопанства и предприятия (член 19)</w:t>
      </w:r>
      <w:bookmarkEnd w:id="1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1" w:name="_Toc256000181"/>
      <w:r>
        <w:rPr>
          <w:b/>
          <w:i w:val="0"/>
        </w:rPr>
        <w:t>М07 — Основни услуги и обновяване на селата в селските райони (член 20)</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2" w:name="_Toc256000182"/>
      <w:r>
        <w:rPr>
          <w:b/>
          <w:i w:val="0"/>
        </w:rPr>
        <w:t>М08 — Инвестиции в развитие на горските райони и подобряване на жизнеспособността на горите (членове 21 — 26)</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M09 — Създаване на групи и организации на производителите (член 27)</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M10 — Агроекология и климат (член 28)</w:t>
      </w:r>
      <w:bookmarkEnd w:id="1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5" w:name="_Toc256000185"/>
      <w:r>
        <w:rPr>
          <w:b/>
          <w:i w:val="0"/>
        </w:rPr>
        <w:t>М11 — Биологично земеделие (член 29)</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M12 — Плащания по „Натура 2000“ и Рамковата директива за водите (член 30)</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М13 — Плащания за райони, изправени пред природни или други специфични ограничения (член 31)</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M14 — Хуманно отношение към животните (член 33)</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М15 — Екологични услуги и услуги във връзка с климата в горското стопанство и опазване на горите (член 34)</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M16 — Сътрудничество (член 35)</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M19 — Подкрепа за местно развитие по LEADER (ВОМР — водено от общностите местно развитие) (член 35 от Регламент (ЕС) № 1303/2013)</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М20 — Техническа помощ държави членки (членове 51 — 54)</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3" w:name="_Toc256000193"/>
      <w:r>
        <w:t>Елементи, необходими за оценка на държавната помощ</w:t>
      </w:r>
      <w:bookmarkEnd w:id="193"/>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21 250 000,00</w:t>
            </w:r>
          </w:p>
        </w:tc>
        <w:tc>
          <w:tcPr>
            <w:tcW w:w="650" w:type="pct"/>
            <w:shd w:val="clear" w:color="auto" w:fill="FFFFFF"/>
            <w:noWrap w:val="0"/>
            <w:tcMar>
              <w:top w:w="60" w:type="dxa"/>
            </w:tcMar>
            <w:vAlign w:val="top"/>
          </w:tcPr>
          <w:p>
            <w:pPr>
              <w:jc w:val="right"/>
              <w:rPr>
                <w:b w:val="0"/>
                <w:sz w:val="16"/>
              </w:rPr>
            </w:pPr>
            <w:r>
              <w:rPr>
                <w:b w:val="0"/>
                <w:sz w:val="16"/>
              </w:rPr>
              <w:t>3 750 000,00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200" w:type="pct"/>
            <w:shd w:val="clear" w:color="auto" w:fill="FFFFFF"/>
            <w:noWrap w:val="0"/>
            <w:tcMar>
              <w:top w:w="60" w:type="dxa"/>
            </w:tcMar>
            <w:vAlign w:val="top"/>
          </w:tcPr>
          <w:p>
            <w:pPr>
              <w:jc w:val="left"/>
              <w:rPr>
                <w:b w:val="0"/>
                <w:sz w:val="16"/>
              </w:rPr>
            </w:pPr>
            <w:r>
              <w:rPr>
                <w:b w:val="0"/>
                <w:sz w:val="16"/>
              </w:rPr>
              <w:t>Помощ за горскоекологични услуги и услуги във връзка с климата в горското стопанство и опазване на горите</w:t>
            </w:r>
          </w:p>
        </w:tc>
        <w:tc>
          <w:tcPr>
            <w:tcW w:w="650" w:type="pct"/>
            <w:shd w:val="clear" w:color="auto" w:fill="FFFFFF"/>
            <w:noWrap w:val="0"/>
            <w:tcMar>
              <w:top w:w="60" w:type="dxa"/>
            </w:tcMar>
            <w:vAlign w:val="top"/>
          </w:tcPr>
          <w:p>
            <w:pPr>
              <w:jc w:val="right"/>
              <w:rPr>
                <w:b w:val="0"/>
                <w:sz w:val="16"/>
              </w:rPr>
            </w:pPr>
            <w:r>
              <w:rPr>
                <w:b w:val="0"/>
                <w:sz w:val="16"/>
              </w:rPr>
              <w:t>6 562 500,00</w:t>
            </w:r>
          </w:p>
        </w:tc>
        <w:tc>
          <w:tcPr>
            <w:tcW w:w="650" w:type="pct"/>
            <w:shd w:val="clear" w:color="auto" w:fill="FFFFFF"/>
            <w:noWrap w:val="0"/>
            <w:tcMar>
              <w:top w:w="60" w:type="dxa"/>
            </w:tcMar>
            <w:vAlign w:val="top"/>
          </w:tcPr>
          <w:p>
            <w:pPr>
              <w:jc w:val="right"/>
              <w:rPr>
                <w:b w:val="0"/>
                <w:sz w:val="16"/>
              </w:rPr>
            </w:pPr>
            <w:r>
              <w:rPr>
                <w:b w:val="0"/>
                <w:sz w:val="16"/>
              </w:rPr>
              <w:t>2 187 500,00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8 750 000,00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r>
              <w:rPr>
                <w:b w:val="0"/>
                <w:sz w:val="16"/>
              </w:rPr>
              <w:t>96 663 875,09</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596 044 724,38</w:t>
            </w:r>
          </w:p>
        </w:tc>
        <w:tc>
          <w:tcPr>
            <w:tcW w:w="650" w:type="pct"/>
            <w:shd w:val="clear" w:color="auto" w:fill="C0C0C0"/>
            <w:noWrap w:val="0"/>
            <w:tcMar>
              <w:top w:w="60" w:type="dxa"/>
            </w:tcMar>
            <w:vAlign w:val="top"/>
          </w:tcPr>
          <w:p>
            <w:pPr>
              <w:jc w:val="right"/>
              <w:rPr>
                <w:b/>
                <w:sz w:val="16"/>
              </w:rPr>
            </w:pPr>
            <w:r>
              <w:rPr>
                <w:b/>
                <w:sz w:val="16"/>
              </w:rPr>
              <w:t>100 848 605,76</w:t>
            </w:r>
          </w:p>
        </w:tc>
        <w:tc>
          <w:tcPr>
            <w:tcW w:w="650" w:type="pct"/>
            <w:shd w:val="clear" w:color="auto" w:fill="C0C0C0"/>
            <w:noWrap w:val="0"/>
            <w:tcMar>
              <w:top w:w="60" w:type="dxa"/>
            </w:tcMar>
            <w:vAlign w:val="top"/>
          </w:tcPr>
          <w:p>
            <w:pPr>
              <w:jc w:val="right"/>
              <w:rPr>
                <w:b/>
                <w:sz w:val="16"/>
              </w:rPr>
            </w:pPr>
            <w:r>
              <w:rPr>
                <w:b/>
                <w:sz w:val="16"/>
              </w:rPr>
              <w:t>0,00</w:t>
            </w:r>
          </w:p>
        </w:tc>
        <w:tc>
          <w:tcPr>
            <w:tcW w:w="650" w:type="pct"/>
            <w:shd w:val="clear" w:color="auto" w:fill="C0C0C0"/>
            <w:noWrap w:val="0"/>
            <w:tcMar>
              <w:top w:w="60" w:type="dxa"/>
            </w:tcMar>
            <w:vAlign w:val="top"/>
          </w:tcPr>
          <w:p>
            <w:pPr>
              <w:jc w:val="right"/>
              <w:rPr>
                <w:b w:val="0"/>
                <w:sz w:val="16"/>
              </w:rPr>
            </w:pPr>
            <w:r>
              <w:rPr>
                <w:b/>
                <w:sz w:val="16"/>
              </w:rPr>
              <w:t>696 893 330,14</w:t>
            </w:r>
          </w:p>
        </w:tc>
      </w:tr>
    </w:tbl>
    <w:p>
      <w:pPr>
        <w:rPr>
          <w:b/>
        </w:rPr>
        <w:sectPr>
          <w:pgSz w:w="15840" w:h="12240" w:orient="landscape"/>
          <w:pgMar w:top="900" w:right="900" w:bottom="900" w:left="900" w:header="720" w:footer="720"/>
          <w:cols w:space="720"/>
        </w:sectPr>
      </w:pPr>
    </w:p>
    <w:p/>
    <w:p>
      <w:pPr>
        <w:pStyle w:val="Heading2"/>
      </w:pPr>
      <w:bookmarkStart w:id="194" w:name="_Toc256000194"/>
      <w:r>
        <w:t>М01 — Трансфер на знания и действия за осведомяване (член 14)</w:t>
      </w:r>
      <w:bookmarkEnd w:id="194"/>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5" w:name="_Toc256000195"/>
      <w:r>
        <w:t>М02 —  Консултантски услуги, услуги по управление на стопанство и услуги по заместване в стопанство (член 15)</w:t>
      </w:r>
      <w:bookmarkEnd w:id="195"/>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6" w:name="_Toc256000196"/>
      <w:r>
        <w:t>М02 —  Консултантски услуги, услуги по управление на стопанство и услуги по заместване в стопанство (член 15)</w:t>
      </w:r>
      <w:bookmarkEnd w:id="196"/>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197" w:name="_Toc256000197"/>
      <w:r>
        <w:t>M04 — Инвестиции в материални активи (член 17)</w:t>
      </w:r>
      <w:bookmarkEnd w:id="197"/>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21 250 000,00</w:t>
      </w:r>
    </w:p>
    <w:p>
      <w:r>
        <w:t xml:space="preserve">Национално съфинансиране (в евро): </w:t>
      </w:r>
      <w:r>
        <w:t>3 750 000,00</w:t>
      </w:r>
    </w:p>
    <w:p>
      <w:r>
        <w:t xml:space="preserve">Допълнително национално финансиране (в евро): </w:t>
      </w:r>
    </w:p>
    <w:p>
      <w:r>
        <w:t xml:space="preserve">Общо (в EUR): </w:t>
      </w:r>
      <w:r>
        <w:t>25 000 000,00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ще се предоставя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198" w:name="_Toc256000198"/>
      <w:r>
        <w:t>M06 — Развитие на стопанства и предприятия (член 19)</w:t>
      </w:r>
      <w:bookmarkEnd w:id="198"/>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199" w:name="_Toc256000199"/>
      <w:r>
        <w:t>М07 — Основни услуги и обновяване на селата в селските райони (член 20)</w:t>
      </w:r>
      <w:bookmarkEnd w:id="199"/>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0" w:name="_Toc256000200"/>
      <w:r>
        <w:t>М07 — Основни услуги и обновяване на селата в селските райони (член 20)</w:t>
      </w:r>
      <w:bookmarkEnd w:id="200"/>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1" w:name="_Toc256000201"/>
      <w:r>
        <w:t>М07 — Основни услуги и обновяване на селата в селските райони (член 20)</w:t>
      </w:r>
      <w:bookmarkEnd w:id="201"/>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2" w:name="_Toc256000202"/>
      <w:r>
        <w:t>М08 — Инвестиции в развитие на горските райони и подобряване на жизнеспособността на горите (членове 21 — 26)</w:t>
      </w:r>
      <w:bookmarkEnd w:id="202"/>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3" w:name="_Toc256000203"/>
      <w:r>
        <w:t>М08 — Инвестиции в развитие на горските райони и подобряване на жизнеспособността на горите (членове 21 — 26)</w:t>
      </w:r>
      <w:bookmarkEnd w:id="203"/>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4" w:name="_Toc256000204"/>
      <w:r>
        <w:t>М08 — Инвестиции в развитие на горските райони и подобряване на жизнеспособността на горите (членове 21 — 26)</w:t>
      </w:r>
      <w:bookmarkEnd w:id="204"/>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5" w:name="_Toc256000205"/>
      <w:r>
        <w:t>М08 — Инвестиции в развитие на горските райони и подобряване на жизнеспособността на горите (членове 21 — 26)</w:t>
      </w:r>
      <w:bookmarkEnd w:id="205"/>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6" w:name="_Toc256000206"/>
      <w:r>
        <w:t>M09 — Създаване на групи и организации на производителите (член 27)</w:t>
      </w:r>
      <w:bookmarkEnd w:id="20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7" w:name="_Toc256000207"/>
      <w:r>
        <w:t>M10 — Агроекология и климат (член 28)</w:t>
      </w:r>
      <w:bookmarkEnd w:id="20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8" w:name="_Toc256000208"/>
      <w:r>
        <w:t>М11 — Биологично земеделие (член 29)</w:t>
      </w:r>
      <w:bookmarkEnd w:id="20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09" w:name="_Toc256000209"/>
      <w:r>
        <w:t>M12 — Плащания по „Натура 2000“ и Рамковата директива за водите (член 30)</w:t>
      </w:r>
      <w:bookmarkEnd w:id="209"/>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0" w:name="_Toc256000210"/>
      <w:r>
        <w:t>М13 — Плащания за райони, изправени пред природни или други специфични ограничения (член 31)</w:t>
      </w:r>
      <w:bookmarkEnd w:id="21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1" w:name="_Toc256000211"/>
      <w:r>
        <w:t>M14 — Хуманно отношение към животните (член 33)</w:t>
      </w:r>
      <w:bookmarkEnd w:id="211"/>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 се прилага.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2" w:name="_Toc256000212"/>
      <w:r>
        <w:t>М15 — Екологични услуги и услуги във връзка с климата в горското стопанство и опазване на горите (член 34)</w:t>
      </w:r>
      <w:bookmarkEnd w:id="212"/>
    </w:p>
    <w:p>
      <w:r>
        <w:t>Наименование на схемата за помощ</w:t>
      </w:r>
      <w:r>
        <w:t>: Помощ за горскоекологични услуги и услуги във връзка с климата в горското стопанство и опазване на горите</w:t>
      </w:r>
    </w:p>
    <w:p>
      <w:r>
        <w:t xml:space="preserve">ЕЗФРСР (в евро): </w:t>
      </w:r>
      <w:r>
        <w:t>6 562 500,00</w:t>
      </w:r>
    </w:p>
    <w:p>
      <w:r>
        <w:t xml:space="preserve">Национално съфинансиране (в евро): </w:t>
      </w:r>
      <w:r>
        <w:t>2 187 500,00</w:t>
      </w:r>
    </w:p>
    <w:p>
      <w:r>
        <w:t xml:space="preserve">Допълнително национално финансиране (в евро): </w:t>
      </w:r>
    </w:p>
    <w:p>
      <w:r>
        <w:t xml:space="preserve">Общо (в EUR): </w:t>
      </w:r>
      <w:r>
        <w:t>8 750 000,00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осъществява и за двете подмерки 15.1. „Плащания за горски екологични ангажименти“ и 15.2. „Подпомагане за запазване и поддръжка на горски генетични ресурси“.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3" w:name="_Toc256000213"/>
      <w:r>
        <w:t>M16 — Сътрудничество (член 35)</w:t>
      </w:r>
      <w:bookmarkEnd w:id="213"/>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4" w:name="_Toc256000214"/>
      <w:r>
        <w:t>M16 — Сътрудничество (член 35)</w:t>
      </w:r>
      <w:bookmarkEnd w:id="214"/>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
      <w:pPr>
        <w:pStyle w:val="Heading2"/>
      </w:pPr>
      <w:bookmarkStart w:id="215" w:name="_Toc256000215"/>
      <w:r>
        <w:t>M19 — Подкрепа за местно развитие по LEADER (ВОМР — водено от общностите местно развитие) (член 35 от Регламент (ЕС) № 1303/2013)</w:t>
      </w:r>
      <w:bookmarkEnd w:id="215"/>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16" w:name="_Toc256000216"/>
      <w:r>
        <w:t>Информация относно взаимното допълване</w:t>
      </w:r>
      <w:bookmarkEnd w:id="216"/>
    </w:p>
    <w:p>
      <w:pPr>
        <w:pStyle w:val="Heading2"/>
      </w:pPr>
      <w:bookmarkStart w:id="217" w:name="_Toc256000217"/>
      <w:r>
        <w:t>Описание на средствата за осигуряване на допълняемост и съгласуваност със:</w:t>
      </w:r>
      <w:bookmarkEnd w:id="217"/>
      <w:r>
        <w:t xml:space="preserve"> </w:t>
      </w:r>
    </w:p>
    <w:p>
      <w:pPr>
        <w:pStyle w:val="Heading3"/>
        <w:jc w:val="left"/>
        <w:rPr>
          <w:b w:val="0"/>
        </w:rPr>
      </w:pPr>
      <w:bookmarkStart w:id="218" w:name="_Toc256000218"/>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„Наука и образование за интелигентен растеж“</w:t>
            </w:r>
            <w:r>
              <w:rPr>
                <w:rStyle w:val="DefaultParagraphFont"/>
                <w:rFonts w:ascii="Times New Roman" w:eastAsia="Times New Roman" w:hAnsi="Times New Roman" w:cs="Times New Roman"/>
                <w:b/>
                <w:bCs/>
                <w:szCs w:val="24"/>
              </w:rPr>
              <w:t xml:space="preserve"> (ОП 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Изследователска дейност и иновации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Оперативна </w:t>
            </w:r>
            <w:r>
              <w:rPr>
                <w:rStyle w:val="DefaultParagraphFont"/>
                <w:rFonts w:ascii="Times New Roman" w:eastAsia="Times New Roman" w:hAnsi="Times New Roman" w:cs="Times New Roman"/>
                <w:b/>
                <w:bCs/>
                <w:szCs w:val="24"/>
              </w:rPr>
              <w:t>програма Региони в растеж</w:t>
            </w: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b/>
                <w:bCs/>
                <w:szCs w:val="24"/>
              </w:rPr>
              <w:t xml:space="preserve"> (ОПРР):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Подкрепата за </w:t>
            </w:r>
            <w:r>
              <w:rPr>
                <w:rStyle w:val="DefaultParagraphFont"/>
                <w:rFonts w:ascii="Times New Roman" w:eastAsia="Times New Roman" w:hAnsi="Times New Roman" w:cs="Times New Roman"/>
                <w:b/>
                <w:bCs/>
                <w:szCs w:val="24"/>
              </w:rPr>
              <w:t xml:space="preserve">иновации </w:t>
            </w:r>
            <w:r>
              <w:rPr>
                <w:rStyle w:val="DefaultParagraphFont"/>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b/>
                <w:bCs/>
                <w:szCs w:val="24"/>
              </w:rPr>
              <w:t>подкрепата за МСП и стартиращи предприятия</w:t>
            </w:r>
            <w:r>
              <w:rPr>
                <w:rStyle w:val="DefaultParagraphFont"/>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b/>
                <w:bCs/>
                <w:szCs w:val="24"/>
              </w:rPr>
              <w:t>енергийната ефективност</w:t>
            </w:r>
            <w:r>
              <w:rPr>
                <w:rStyle w:val="DefaultParagraphFont"/>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Оперативна програма „Околна среда“ (ОПОС)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управление на водите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 „Добро управление“ и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ОП “Морско дело и рибарство”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„Плодове и зеленчуци“</w:t>
            </w:r>
            <w:r>
              <w:rPr>
                <w:rStyle w:val="DefaultParagraphFont"/>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„Вино“</w:t>
            </w:r>
            <w:r>
              <w:rPr>
                <w:rStyle w:val="DefaultParagraphFont"/>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w:t>
            </w:r>
            <w:r>
              <w:rPr>
                <w:rStyle w:val="DefaultParagraphFont"/>
                <w:rFonts w:ascii="Times New Roman" w:eastAsia="Times New Roman" w:hAnsi="Times New Roman" w:cs="Times New Roman"/>
                <w:i/>
                <w:iCs/>
                <w:szCs w:val="24"/>
              </w:rPr>
              <w:t>сектор „Пчеларство“</w:t>
            </w:r>
            <w:r>
              <w:rPr>
                <w:rStyle w:val="DefaultParagraphFont"/>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Инвестиционни дейности няма да бъдат подпомагани в </w:t>
            </w:r>
            <w:r>
              <w:rPr>
                <w:rStyle w:val="DefaultParagraphFont"/>
                <w:rFonts w:ascii="Times New Roman" w:eastAsia="Times New Roman" w:hAnsi="Times New Roman" w:cs="Times New Roman"/>
                <w:i/>
                <w:iCs/>
                <w:szCs w:val="24"/>
              </w:rPr>
              <w:t>сектор „Тютюн“.</w:t>
            </w:r>
            <w:r>
              <w:rPr>
                <w:rStyle w:val="DefaultParagraphFont"/>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Производството, преработката и маркетинга на </w:t>
            </w:r>
            <w:r>
              <w:rPr>
                <w:rStyle w:val="DefaultParagraphFont"/>
                <w:rFonts w:ascii="Times New Roman" w:eastAsia="Times New Roman" w:hAnsi="Times New Roman" w:cs="Times New Roman"/>
                <w:i/>
                <w:iCs/>
                <w:szCs w:val="24"/>
              </w:rPr>
              <w:t>зехтин</w:t>
            </w:r>
            <w:r>
              <w:rPr>
                <w:rStyle w:val="DefaultParagraphFont"/>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Style w:val="DefaultParagraphFont"/>
                <w:rFonts w:ascii="Times New Roman" w:eastAsia="Times New Roman" w:hAnsi="Times New Roman" w:cs="Times New Roman"/>
                <w:i/>
                <w:iCs/>
                <w:szCs w:val="24"/>
              </w:rPr>
              <w:t>захар и/или сладкарски изделия</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Мерките в </w:t>
            </w:r>
            <w:r>
              <w:rPr>
                <w:rStyle w:val="DefaultParagraphFont"/>
                <w:rFonts w:ascii="Times New Roman" w:eastAsia="Times New Roman" w:hAnsi="Times New Roman" w:cs="Times New Roman"/>
                <w:b/>
                <w:bCs/>
                <w:szCs w:val="24"/>
              </w:rPr>
              <w:t>Първи и Втори стълб на ОСП</w:t>
            </w:r>
            <w:r>
              <w:rPr>
                <w:rStyle w:val="DefaultParagraphFont"/>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i/>
                <w:iCs/>
                <w:szCs w:val="24"/>
              </w:rPr>
              <w:t>младите фермери</w:t>
            </w:r>
            <w:r>
              <w:rPr>
                <w:rStyle w:val="DefaultParagraphFont"/>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По отношение на </w:t>
            </w:r>
            <w:r>
              <w:rPr>
                <w:rStyle w:val="DefaultParagraphFont"/>
                <w:rFonts w:ascii="Times New Roman" w:eastAsia="Times New Roman" w:hAnsi="Times New Roman" w:cs="Times New Roman"/>
                <w:i/>
                <w:iCs/>
                <w:szCs w:val="24"/>
              </w:rPr>
              <w:t>схемата за малките стопанства</w:t>
            </w:r>
            <w:r>
              <w:rPr>
                <w:rStyle w:val="DefaultParagraphFont"/>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Първи стълб на ОСП</w:t>
            </w:r>
            <w:r>
              <w:rPr>
                <w:rStyle w:val="DefaultParagraphFont"/>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Разграничаване с „Плодове и зеленчуци”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19" w:name="_Toc256000219"/>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1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0" w:name="_Toc256000220"/>
      <w:r>
        <w:rPr>
          <w:b w:val="0"/>
        </w:rPr>
        <w:t>Когато е целесъобразно, информация за взаимното допълване с други финансови инструменти на Съюза, включително програма LIFE</w:t>
      </w:r>
      <w:bookmarkEnd w:id="22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Style w:val="DefaultParagraphFont"/>
                <w:rFonts w:ascii="Times New Roman" w:eastAsia="Times New Roman" w:hAnsi="Times New Roman" w:cs="Times New Roman"/>
                <w:szCs w:val="24"/>
              </w:rPr>
              <w:br/>
            </w: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ПС ИНТЕРРЕГ ЕВРОПА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ОП „УРБАКТ III”</w:t>
            </w:r>
            <w:r>
              <w:rPr>
                <w:rStyle w:val="DefaultParagraphFont"/>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Style w:val="DefaultParagraphFont"/>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Style w:val="DefaultParagraphFont"/>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1" w:name="_Toc256000221"/>
      <w:r>
        <w:t>Организация за изпълнението на програмата</w:t>
      </w:r>
      <w:bookmarkEnd w:id="221"/>
    </w:p>
    <w:p>
      <w:pPr>
        <w:pStyle w:val="Heading2"/>
      </w:pPr>
      <w:bookmarkStart w:id="222" w:name="_Toc256000222"/>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22"/>
    </w:p>
    <w:p>
      <w:pPr>
        <w:pStyle w:val="Heading3"/>
        <w:jc w:val="left"/>
        <w:rPr>
          <w:b w:val="0"/>
        </w:rPr>
      </w:pPr>
      <w:bookmarkStart w:id="223" w:name="_Toc256000223"/>
      <w:r>
        <w:rPr>
          <w:b w:val="0"/>
        </w:rPr>
        <w:t>Органи</w:t>
      </w:r>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0"/>
        <w:gridCol w:w="2000"/>
        <w:gridCol w:w="1839"/>
        <w:gridCol w:w="1780"/>
        <w:gridCol w:w="302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Ръководител на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и храните.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В процес на избор на изпълнител.</w:t>
            </w:r>
          </w:p>
        </w:tc>
        <w:tc>
          <w:tcPr>
            <w:tcW w:w="650" w:type="pct"/>
            <w:shd w:val="clear" w:color="auto" w:fill="FFFFFF"/>
            <w:noWrap w:val="0"/>
            <w:tcMar>
              <w:top w:w="60" w:type="dxa"/>
            </w:tcMar>
            <w:vAlign w:val="top"/>
          </w:tcPr>
          <w:p>
            <w:pPr>
              <w:jc w:val="left"/>
              <w:rPr>
                <w:b w:val="0"/>
                <w:sz w:val="16"/>
              </w:rPr>
            </w:pPr>
            <w:r>
              <w:rPr>
                <w:b w:val="0"/>
                <w:sz w:val="16"/>
              </w:rPr>
              <w:t>Информацията ще бъде посочена на по-късен етап</w:t>
            </w:r>
          </w:p>
        </w:tc>
        <w:tc>
          <w:tcPr>
            <w:tcW w:w="650" w:type="pct"/>
            <w:shd w:val="clear" w:color="auto" w:fill="FFFFFF"/>
            <w:noWrap w:val="0"/>
            <w:tcMar>
              <w:top w:w="60" w:type="dxa"/>
            </w:tcMar>
            <w:vAlign w:val="top"/>
          </w:tcPr>
          <w:p>
            <w:pPr>
              <w:jc w:val="left"/>
              <w:rPr>
                <w:b w:val="0"/>
                <w:sz w:val="16"/>
              </w:rPr>
            </w:pPr>
            <w:r>
              <w:rPr>
                <w:b w:val="0"/>
                <w:sz w:val="16"/>
              </w:rPr>
              <w:t>Информацията ще бъде посочена на по-късен етап</w:t>
            </w:r>
          </w:p>
        </w:tc>
        <w:tc>
          <w:tcPr>
            <w:tcW w:w="650" w:type="pct"/>
            <w:shd w:val="clear" w:color="auto" w:fill="FFFFFF"/>
            <w:noWrap w:val="0"/>
            <w:tcMar>
              <w:top w:w="60" w:type="dxa"/>
            </w:tcMar>
            <w:vAlign w:val="top"/>
          </w:tcPr>
          <w:p>
            <w:pPr>
              <w:jc w:val="left"/>
              <w:rPr>
                <w:b w:val="0"/>
                <w:sz w:val="16"/>
              </w:rPr>
            </w:pPr>
            <w:r>
              <w:rPr>
                <w:b w:val="0"/>
                <w:sz w:val="16"/>
              </w:rPr>
              <w:t>dsimeonov@mzh.government.bg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24" w:name="_Toc256000224"/>
      <w:r>
        <w:rPr>
          <w:b w:val="0"/>
        </w:rPr>
        <w:t>Кратко описание на структурата за управление и контрол на програмата и на процедурите за независимо разглеждане на жалби</w:t>
      </w:r>
      <w:bookmarkEnd w:id="224"/>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49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Управляващ орган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“Развитие на селските райони” в Министерство на земеделието и храните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Style w:val="DefaultParagraphFont"/>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Органиграма на УО е в Приложение 4 към Раздел 15.1.</w:t>
            </w:r>
          </w:p>
          <w:p>
            <w:pPr>
              <w:numPr>
                <w:ilvl w:val="0"/>
                <w:numId w:val="49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Разплащателна агенция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49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4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4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извършени проверките, предвидени в законодателството на ЕС;</w:t>
            </w:r>
          </w:p>
          <w:p>
            <w:pPr>
              <w:numPr>
                <w:ilvl w:val="0"/>
                <w:numId w:val="49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са представени в срок изискуемите документи;</w:t>
            </w:r>
          </w:p>
          <w:p>
            <w:pPr>
              <w:numPr>
                <w:ilvl w:val="0"/>
                <w:numId w:val="49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нормативно регламентирани проверки. Изключения правят мерките, за които се вземе решение за прилагане по децентрализиран подход.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0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Структури за контрол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РА </w:t>
            </w:r>
            <w:r>
              <w:rPr>
                <w:rStyle w:val="DefaultParagraphFont"/>
                <w:rFonts w:ascii="Times New Roman" w:eastAsia="Times New Roman" w:hAnsi="Times New Roman" w:cs="Times New Roman"/>
                <w:szCs w:val="24"/>
              </w:rPr>
              <w:t xml:space="preserve">извършва </w:t>
            </w:r>
            <w:r>
              <w:rPr>
                <w:rStyle w:val="DefaultParagraphFont"/>
                <w:rFonts w:ascii="Times New Roman" w:eastAsia="Times New Roman" w:hAnsi="Times New Roman" w:cs="Times New Roman"/>
                <w:b/>
                <w:bCs/>
                <w:szCs w:val="24"/>
              </w:rPr>
              <w:t>административен контрол</w:t>
            </w:r>
            <w:r>
              <w:rPr>
                <w:rStyle w:val="DefaultParagraphFont"/>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Style w:val="DefaultParagraphFont"/>
                <w:rFonts w:ascii="Times New Roman" w:eastAsia="Times New Roman" w:hAnsi="Times New Roman" w:cs="Times New Roman"/>
                <w:b/>
                <w:bCs/>
                <w:szCs w:val="24"/>
              </w:rPr>
              <w:t>административни проверки</w:t>
            </w:r>
            <w:r>
              <w:rPr>
                <w:rStyle w:val="DefaultParagraphFont"/>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Style w:val="DefaultParagraphFont"/>
                <w:rFonts w:ascii="Times New Roman" w:eastAsia="Times New Roman" w:hAnsi="Times New Roman" w:cs="Times New Roman"/>
                <w:b/>
                <w:bCs/>
                <w:szCs w:val="24"/>
              </w:rPr>
              <w:t>проверки на място</w:t>
            </w:r>
            <w:r>
              <w:rPr>
                <w:rStyle w:val="DefaultParagraphFont"/>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Сертифициращ орган</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МЗХ е стартирана процедура за избор на изпълнител, който ще изпълнява функциите на Сертифициращ орган, в съответствие с чл.9 от Регламент (EC) № 1306/2013.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Централно координационно звено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МЕХАНИЗЪМ ЗА РАЗГЛЕЖДАНЕ НА ЖАЛБИ ВЪВ ВРЪЗКА С ЧЛ. 74, Т. 3 НА РЕГЛАМЕНТ 1303/2013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Република България Административно процесуалния кодекс (АПК) е нормативния акт, които урежда реда на обжалване на административни актове, с които РА или МЗХ одобряват или отхвърлят заявките за подпомагане по ПРСР 2007-2013 г. и ПРСР 2014-2020 г. Създадени са две възможности за обжалване на издадените актове във връзка с предоставяне на финансовата помощ по ПРСР: пред по-горестоящ административен орган и по съдебен ред.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действащият в момента Закон за подпомагане на земеделските производители, чл. 29, ал.3 министъра на земеделието и храните е по-горестоящ спрямо решението на ДФЗ-РА за пълен или частичен отказ на заявления за подпомагане.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чл. 25, ал. 4 от Закона за администрацията, чл. 29, ал. 3 от Закона за подпомагане на земеделските производители, чл. 2, ал. 3 от Закона за прилагане на общата организация на пазарите на земеделските продукти на Европейския съюз и чл. 6, ал. 2 от Закона за рибарството и аквакултурите е сформирана комисия за разглеждане на жалби на бенефициенти по ПРСР 2014-2020 г. При постъпване на конкретна жалба в МЗХ, тя се разпределя към дирекция „Административно и правно обслужване“. Комисия назначена със заповед на министъра на земеделието и храните РД 09-45/23.01.2015 г. с председател директора на дирекция АПО и състав от експерти служители на МЗХ разглежда жалбата. В случай, че жалбата засяга въпрос свързан с ПРСР 2014-2020 г. се изисква писмено становище на експерт от УО в срок от 5 дни. Становището на експерта от УО се докладва и разглежда от Комисията на присъствено заседание. Въз основа на решението на Комисията, членовете на Комисията от дирекция АПО изготвят проекти на актове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Втората възможност пред бенефициентите е да обжалват директно по съдебен ред.</w:t>
            </w:r>
          </w:p>
          <w:p>
            <w:pPr>
              <w:pStyle w:val="BodyText"/>
              <w:jc w:val="both"/>
              <w:rPr>
                <w:b w:val="0"/>
              </w:rPr>
            </w:pPr>
          </w:p>
        </w:tc>
      </w:tr>
    </w:tbl>
    <w:p>
      <w:pPr>
        <w:pStyle w:val="Heading2"/>
        <w:rPr>
          <w:b w:val="0"/>
        </w:rPr>
      </w:pPr>
      <w:bookmarkStart w:id="225" w:name="_Toc256000225"/>
      <w:r>
        <w:rPr>
          <w:b w:val="0"/>
        </w:rPr>
        <w:t>Предлаган състав на мониторинговия комитет</w:t>
      </w:r>
      <w:bookmarkEnd w:id="22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и храните.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съответствие с чл. 74 от Регламент (EC) № 1305/2013, КН:</w:t>
            </w:r>
          </w:p>
          <w:p>
            <w:pPr>
              <w:numPr>
                <w:ilvl w:val="0"/>
                <w:numId w:val="50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0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0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0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и социални партньори;</w:t>
            </w:r>
          </w:p>
          <w:p>
            <w:pPr>
              <w:numPr>
                <w:ilvl w:val="0"/>
                <w:numId w:val="5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Академичната общност;</w:t>
            </w:r>
          </w:p>
          <w:p>
            <w:pPr>
              <w:numPr>
                <w:ilvl w:val="0"/>
                <w:numId w:val="5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0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0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6" w:name="_Toc256000226"/>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0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Style w:val="DefaultParagraphFont"/>
                <w:rFonts w:ascii="Times New Roman" w:eastAsia="Times New Roman" w:hAnsi="Times New Roman" w:cs="Times New Roman"/>
                <w:i/>
                <w:iCs/>
                <w:szCs w:val="24"/>
              </w:rPr>
              <w:t>информационни семинари/тематични кампании</w:t>
            </w:r>
            <w:r>
              <w:rPr>
                <w:rStyle w:val="DefaultParagraphFont"/>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Style w:val="DefaultParagraphFont"/>
                <w:rFonts w:ascii="Times New Roman" w:eastAsia="Times New Roman" w:hAnsi="Times New Roman" w:cs="Times New Roman"/>
                <w:i/>
                <w:iCs/>
                <w:szCs w:val="24"/>
              </w:rPr>
              <w:t>рекламно-информационни материали</w:t>
            </w:r>
            <w:r>
              <w:rPr>
                <w:rStyle w:val="DefaultParagraphFont"/>
                <w:rFonts w:ascii="Times New Roman" w:eastAsia="Times New Roman" w:hAnsi="Times New Roman" w:cs="Times New Roman"/>
                <w:szCs w:val="24"/>
              </w:rPr>
              <w:t xml:space="preserve"> по Програмата (2007-13 г.), както и опитът от участия в </w:t>
            </w:r>
            <w:r>
              <w:rPr>
                <w:rStyle w:val="DefaultParagraphFont"/>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Style w:val="DefaultParagraphFont"/>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 на информационните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има за цел:</w:t>
            </w:r>
          </w:p>
          <w:p>
            <w:pPr>
              <w:numPr>
                <w:ilvl w:val="0"/>
                <w:numId w:val="504"/>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0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0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0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Целеви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Информационните дейности ще осигурят </w:t>
            </w:r>
            <w:r>
              <w:rPr>
                <w:rStyle w:val="DefaultParagraphFont"/>
                <w:rFonts w:ascii="Times New Roman" w:eastAsia="Times New Roman" w:hAnsi="Times New Roman" w:cs="Times New Roman"/>
                <w:b/>
                <w:bCs/>
                <w:szCs w:val="24"/>
              </w:rPr>
              <w:t>прозрачност</w:t>
            </w:r>
            <w:r>
              <w:rPr>
                <w:rStyle w:val="DefaultParagraphFont"/>
                <w:rFonts w:ascii="Times New Roman" w:eastAsia="Times New Roman" w:hAnsi="Times New Roman" w:cs="Times New Roman"/>
                <w:szCs w:val="24"/>
              </w:rPr>
              <w:t xml:space="preserve"> и </w:t>
            </w:r>
            <w:r>
              <w:rPr>
                <w:rStyle w:val="DefaultParagraphFont"/>
                <w:rFonts w:ascii="Times New Roman" w:eastAsia="Times New Roman" w:hAnsi="Times New Roman" w:cs="Times New Roman"/>
                <w:b/>
                <w:bCs/>
                <w:szCs w:val="24"/>
              </w:rPr>
              <w:t>ще информират</w:t>
            </w:r>
            <w:r>
              <w:rPr>
                <w:rStyle w:val="DefaultParagraphFont"/>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0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Потенциални  бенефициенти;</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Икономически и социални партньори;</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Образователните и научноизследователските институции;</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 местни и публични власти; </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Центрове, асоциации, клубове с нестопанска цел;</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Представителството на ЕС за България;</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Консултантски организации;</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Медии;</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Оперативни групи и изследователи;</w:t>
            </w:r>
          </w:p>
          <w:p>
            <w:pPr>
              <w:numPr>
                <w:ilvl w:val="0"/>
                <w:numId w:val="505"/>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Широката общественост;</w:t>
            </w:r>
          </w:p>
          <w:p>
            <w:pPr>
              <w:numPr>
                <w:ilvl w:val="0"/>
                <w:numId w:val="50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Други УО на ОП прилагащи ЕСИФ.</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Индикативен Бюджет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Информационни дейности и фази на Комуникационния план</w:t>
            </w:r>
          </w:p>
          <w:p>
            <w:pPr>
              <w:numPr>
                <w:ilvl w:val="0"/>
                <w:numId w:val="50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Информационн</w:t>
            </w:r>
            <w:r>
              <w:rPr>
                <w:rStyle w:val="DefaultParagraphFont"/>
                <w:rFonts w:ascii="Times New Roman" w:eastAsia="Times New Roman" w:hAnsi="Times New Roman" w:cs="Times New Roman"/>
                <w:b/>
                <w:bCs/>
                <w:i/>
                <w:iCs/>
                <w:szCs w:val="24"/>
              </w:rPr>
              <w:t>и</w:t>
            </w:r>
            <w:r>
              <w:rPr>
                <w:rStyle w:val="DefaultParagraphFont"/>
                <w:rFonts w:ascii="Times New Roman" w:eastAsia="Times New Roman" w:hAnsi="Times New Roman" w:cs="Times New Roman"/>
                <w:b/>
                <w:bCs/>
                <w:i/>
                <w:iCs/>
                <w:szCs w:val="24"/>
              </w:rPr>
              <w:t xml:space="preserve">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Този документът, ще регламентира:</w:t>
            </w:r>
          </w:p>
          <w:p>
            <w:pPr>
              <w:numPr>
                <w:ilvl w:val="0"/>
                <w:numId w:val="507"/>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реда за прилагане на конкретните мерки от ПРСР (2014-2020 г.);</w:t>
            </w:r>
          </w:p>
          <w:p>
            <w:pPr>
              <w:numPr>
                <w:ilvl w:val="0"/>
                <w:numId w:val="5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подпомаганите сектори;</w:t>
            </w:r>
          </w:p>
          <w:p>
            <w:pPr>
              <w:numPr>
                <w:ilvl w:val="0"/>
                <w:numId w:val="5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допустимите инвестиции;</w:t>
            </w:r>
          </w:p>
          <w:p>
            <w:pPr>
              <w:numPr>
                <w:ilvl w:val="0"/>
                <w:numId w:val="5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финансовите условия;</w:t>
            </w:r>
          </w:p>
          <w:p>
            <w:pPr>
              <w:numPr>
                <w:ilvl w:val="0"/>
                <w:numId w:val="507"/>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допустимост на кандидатите;</w:t>
            </w:r>
          </w:p>
          <w:p>
            <w:pPr>
              <w:numPr>
                <w:ilvl w:val="0"/>
                <w:numId w:val="507"/>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процедурите за кандидатстване и плащане на помощта, включително изискваните  придружаващи документи.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бъде осигурена информация под формата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Информационни семинари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както и целият процес на кандидатстване, вкл. и препоръки за намаляване риска от грешки.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Лекции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Отпечатване на информационни материали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r>
              <w:rPr>
                <w:rStyle w:val="DefaultParagraphFont"/>
                <w:rFonts w:ascii="Times New Roman" w:eastAsia="Times New Roman" w:hAnsi="Times New Roman" w:cs="Times New Roman"/>
                <w:i/>
                <w:iCs/>
                <w:szCs w:val="24"/>
                <w:u w:val="single"/>
              </w:rPr>
              <w:t>Информационни пунктове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Онлайн консултации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Style w:val="DefaultParagraphFont"/>
                <w:rFonts w:ascii="Times New Roman" w:eastAsia="Times New Roman" w:hAnsi="Times New Roman" w:cs="Times New Roman"/>
                <w:i/>
                <w:iCs/>
                <w:szCs w:val="24"/>
              </w:rPr>
              <w:t>).</w:t>
            </w:r>
            <w:r>
              <w:rPr>
                <w:rStyle w:val="DefaultParagraphFont"/>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u w:val="single"/>
              </w:rPr>
              <w:t>Социални мрежи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Фази на комуникационната 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Акцентът ще е насочен в подържане на информираността на бенефициентите за изискванията в наредбите към мерките, процедурите за кандидатстване и необходимия набор от  документи.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 xml:space="preserve">Критерии </w:t>
            </w:r>
            <w:r>
              <w:rPr>
                <w:rStyle w:val="DefaultParagraphFont"/>
                <w:rFonts w:ascii="Times New Roman" w:eastAsia="Times New Roman" w:hAnsi="Times New Roman" w:cs="Times New Roman"/>
                <w:b/>
                <w:bCs/>
                <w:i/>
                <w:iCs/>
                <w:szCs w:val="24"/>
              </w:rPr>
              <w:t xml:space="preserve">и механизъм за мониторинг и </w:t>
            </w:r>
            <w:r>
              <w:rPr>
                <w:rStyle w:val="DefaultParagraphFont"/>
                <w:rFonts w:ascii="Times New Roman" w:eastAsia="Times New Roman" w:hAnsi="Times New Roman" w:cs="Times New Roman"/>
                <w:b/>
                <w:bCs/>
                <w:i/>
                <w:iCs/>
                <w:szCs w:val="24"/>
              </w:rPr>
              <w:t xml:space="preserve">оценка на </w:t>
            </w:r>
            <w:r>
              <w:rPr>
                <w:rStyle w:val="DefaultParagraphFont"/>
                <w:rFonts w:ascii="Times New Roman" w:eastAsia="Times New Roman" w:hAnsi="Times New Roman" w:cs="Times New Roman"/>
                <w:b/>
                <w:bCs/>
                <w:i/>
                <w:iCs/>
                <w:szCs w:val="24"/>
              </w:rPr>
              <w:t xml:space="preserve">ефективността и </w:t>
            </w:r>
            <w:r>
              <w:rPr>
                <w:rStyle w:val="DefaultParagraphFont"/>
                <w:rFonts w:ascii="Times New Roman" w:eastAsia="Times New Roman" w:hAnsi="Times New Roman" w:cs="Times New Roman"/>
                <w:b/>
                <w:bCs/>
                <w:i/>
                <w:iCs/>
                <w:szCs w:val="24"/>
              </w:rPr>
              <w:t>въздействието на информационните и публични</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i/>
                <w:iCs/>
                <w:szCs w:val="24"/>
              </w:rPr>
              <w:t>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УO ще е отговорен за общото прилагане на Комуникационния план. Агенциите и службите на МЗХ,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Задължения на бенефициентите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7" w:name="_Toc256000227"/>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Подробният механизъм за съгласуваност между отделните фондове е включен в нормативния акт за координация и прилагане на подхода ВОМР.</w:t>
            </w:r>
          </w:p>
          <w:p>
            <w:pPr>
              <w:pStyle w:val="BodyText"/>
              <w:jc w:val="both"/>
              <w:rPr>
                <w:b w:val="0"/>
              </w:rPr>
            </w:pPr>
          </w:p>
        </w:tc>
      </w:tr>
    </w:tbl>
    <w:p>
      <w:pPr>
        <w:pStyle w:val="Heading2"/>
        <w:rPr>
          <w:b w:val="0"/>
        </w:rPr>
      </w:pPr>
      <w:bookmarkStart w:id="228" w:name="_Toc256000228"/>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0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Документи и документооборот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0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Разписване на точни, ясни и лесно приложими разпоредби в нормативна уредба, с цел облекчаване на тяхното прилагане от страна на бенефициентите.</w:t>
            </w:r>
          </w:p>
          <w:p>
            <w:pPr>
              <w:numPr>
                <w:ilvl w:val="0"/>
                <w:numId w:val="50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0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1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1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1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разпоредби в националното законодателство 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1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Подготовка на проектни предложения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12"/>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12"/>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12"/>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51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Оценка на проектни предложения, предоставяне на </w:t>
            </w:r>
            <w:r>
              <w:rPr>
                <w:rStyle w:val="DefaultParagraphFont"/>
                <w:rFonts w:ascii="Times New Roman" w:eastAsia="Times New Roman" w:hAnsi="Times New Roman" w:cs="Times New Roman"/>
                <w:b/>
                <w:bCs/>
                <w:szCs w:val="24"/>
              </w:rPr>
              <w:t>финансова помощ</w:t>
            </w:r>
            <w:r>
              <w:rPr>
                <w:rStyle w:val="DefaultParagraphFont"/>
                <w:rFonts w:ascii="Times New Roman" w:eastAsia="Times New Roman" w:hAnsi="Times New Roman" w:cs="Times New Roman"/>
                <w:b/>
                <w:bCs/>
                <w:szCs w:val="24"/>
              </w:rPr>
              <w:t xml:space="preserve"> и изпълнение на проекти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14"/>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14"/>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14"/>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numPr>
                <w:ilvl w:val="0"/>
                <w:numId w:val="51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Процедури за избор на изпълнител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16"/>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16"/>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1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Верификация</w:t>
            </w:r>
            <w:r>
              <w:rPr>
                <w:rStyle w:val="DefaultParagraphFont"/>
                <w:rFonts w:ascii="Times New Roman" w:eastAsia="Times New Roman" w:hAnsi="Times New Roman" w:cs="Times New Roman"/>
                <w:b/>
                <w:bCs/>
                <w:szCs w:val="24"/>
              </w:rPr>
              <w:t xml:space="preserve"> на разходите</w:t>
            </w:r>
            <w:r>
              <w:rPr>
                <w:rStyle w:val="DefaultParagraphFont"/>
                <w:rFonts w:ascii="Times New Roman" w:eastAsia="Times New Roman" w:hAnsi="Times New Roman" w:cs="Times New Roman"/>
                <w:b/>
                <w:bCs/>
                <w:szCs w:val="24"/>
              </w:rPr>
              <w:t xml:space="preserve"> и плащания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1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1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1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1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Контрол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20"/>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20"/>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20"/>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29" w:name="_Toc256000229"/>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Style w:val="DefaultParagraphFont"/>
                <w:rFonts w:ascii="Times New Roman" w:eastAsia="Times New Roman" w:hAnsi="Times New Roman" w:cs="Times New Roman"/>
                <w:i/>
                <w:iCs/>
                <w:szCs w:val="24"/>
              </w:rPr>
              <w:t>Приложение 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Ще бъдат подпомагани следните дейности:</w:t>
            </w:r>
          </w:p>
          <w:p>
            <w:pPr>
              <w:numPr>
                <w:ilvl w:val="0"/>
                <w:numId w:val="521"/>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22"/>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2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w:t>
            </w:r>
          </w:p>
          <w:p>
            <w:pPr>
              <w:numPr>
                <w:ilvl w:val="0"/>
                <w:numId w:val="52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2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2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 и РА членове на комисиите.</w:t>
            </w:r>
          </w:p>
          <w:p>
            <w:pPr>
              <w:numPr>
                <w:ilvl w:val="0"/>
                <w:numId w:val="52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2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оценките, описани в Раздел 9.  </w:t>
            </w:r>
          </w:p>
          <w:p>
            <w:pPr>
              <w:numPr>
                <w:ilvl w:val="0"/>
                <w:numId w:val="52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22"/>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22"/>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23"/>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24"/>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създаване и функциониране на НСМ след 31.12.2015 г.</w:t>
            </w:r>
          </w:p>
          <w:p>
            <w:pPr>
              <w:numPr>
                <w:ilvl w:val="0"/>
                <w:numId w:val="5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за работа в мрежа и разрешаване на жалби.</w:t>
            </w:r>
          </w:p>
          <w:p>
            <w:pPr>
              <w:numPr>
                <w:ilvl w:val="0"/>
                <w:numId w:val="5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Извършване на проверки на място (пътни, дневни и нощувки).</w:t>
            </w:r>
          </w:p>
          <w:p>
            <w:pPr>
              <w:numPr>
                <w:ilvl w:val="0"/>
                <w:numId w:val="5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на ваучерна система по Мярка 1 на ПРСР.</w:t>
            </w:r>
          </w:p>
          <w:p>
            <w:pPr>
              <w:numPr>
                <w:ilvl w:val="0"/>
                <w:numId w:val="5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2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24"/>
              </w:numPr>
              <w:spacing w:before="0" w:after="240"/>
              <w:ind w:left="720" w:hanging="40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Изготвяне на последваща оценка на ПРСР (2007-13).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Style w:val="DefaultParagraphFont"/>
                <w:rFonts w:ascii="Times New Roman" w:eastAsia="Times New Roman" w:hAnsi="Times New Roman" w:cs="Times New Roman"/>
                <w:i/>
                <w:iCs/>
                <w:szCs w:val="24"/>
              </w:rPr>
              <w:t>Приложение 2</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Style w:val="DefaultParagraphFont"/>
                <w:rFonts w:ascii="Times New Roman" w:eastAsia="Times New Roman" w:hAnsi="Times New Roman" w:cs="Times New Roman"/>
                <w:i/>
                <w:iCs/>
                <w:szCs w:val="24"/>
              </w:rPr>
              <w:t>Приложение 3</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Бюджет в размер на 37 493 274 евро </w:t>
            </w:r>
            <w:r>
              <w:rPr>
                <w:rStyle w:val="DefaultParagraphFont"/>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Бенефициенти</w:t>
            </w:r>
          </w:p>
          <w:p>
            <w:pPr>
              <w:numPr>
                <w:ilvl w:val="0"/>
                <w:numId w:val="525"/>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РСР - УО на ПРСР;</w:t>
            </w:r>
          </w:p>
          <w:p>
            <w:pPr>
              <w:numPr>
                <w:ilvl w:val="0"/>
                <w:numId w:val="525"/>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0" w:name="_Toc256000230"/>
      <w:r>
        <w:t>Списък на действията за привличане на партньорите</w:t>
      </w:r>
      <w:bookmarkEnd w:id="230"/>
    </w:p>
    <w:p>
      <w:pPr>
        <w:pStyle w:val="Heading2"/>
      </w:pPr>
      <w:bookmarkStart w:id="231" w:name="_Toc256000231"/>
      <w:r>
        <w:t>16.1.1.Създаване на Тематична работна група (ТРГ) за разработване на ПРСР(2014-2020) с участие на партньорите</w:t>
      </w:r>
      <w:bookmarkEnd w:id="231"/>
    </w:p>
    <w:p>
      <w:pPr>
        <w:pStyle w:val="Heading3"/>
        <w:jc w:val="left"/>
        <w:rPr>
          <w:b w:val="0"/>
        </w:rPr>
      </w:pPr>
      <w:bookmarkStart w:id="232" w:name="_Toc256000232"/>
      <w:r>
        <w:rPr>
          <w:b w:val="0"/>
        </w:rPr>
        <w:t>Предмет на съответната консултация</w:t>
      </w:r>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33" w:name="_Toc256000233"/>
      <w:r>
        <w:rPr>
          <w:b w:val="0"/>
        </w:rPr>
        <w:t>Обобщение на резултатите</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34" w:name="_Toc256000234"/>
      <w:r>
        <w:rPr>
          <w:b w:val="0"/>
        </w:rPr>
        <w:t>16.1.2. Провеждане на 7 заседания на ТРГ.</w:t>
      </w:r>
      <w:bookmarkEnd w:id="234"/>
    </w:p>
    <w:p>
      <w:pPr>
        <w:pStyle w:val="Heading3"/>
        <w:jc w:val="left"/>
        <w:rPr>
          <w:b w:val="0"/>
        </w:rPr>
      </w:pPr>
      <w:bookmarkStart w:id="235" w:name="_Toc256000235"/>
      <w:r>
        <w:rPr>
          <w:b w:val="0"/>
        </w:rPr>
        <w:t>Предмет на съответната консултация</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с партньорите на:</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3.проекта на анализ и стратегия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5.първи вариант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36" w:name="_Toc256000236"/>
      <w:r>
        <w:rPr>
          <w:b w:val="0"/>
        </w:rPr>
        <w:t>Обобщение на резултатите</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37" w:name="_Toc256000237"/>
      <w:r>
        <w:rPr>
          <w:b w:val="0"/>
        </w:rPr>
        <w:t>16.1.3. Сформиране на фокус групи</w:t>
      </w:r>
      <w:bookmarkEnd w:id="237"/>
    </w:p>
    <w:p>
      <w:pPr>
        <w:pStyle w:val="Heading3"/>
        <w:jc w:val="left"/>
        <w:rPr>
          <w:b w:val="0"/>
        </w:rPr>
      </w:pPr>
      <w:bookmarkStart w:id="238" w:name="_Toc256000238"/>
      <w:r>
        <w:rPr>
          <w:b w:val="0"/>
        </w:rPr>
        <w:t>Предмет на съответната консултация</w:t>
      </w:r>
      <w:bookmarkEnd w:id="2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39" w:name="_Toc256000239"/>
      <w:r>
        <w:rPr>
          <w:b w:val="0"/>
        </w:rPr>
        <w:t>Обобщение на резултатите</w:t>
      </w:r>
      <w:bookmarkEnd w:id="23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0" w:name="_Toc256000240"/>
      <w:r>
        <w:rPr>
          <w:b w:val="0"/>
        </w:rPr>
        <w:t>16.1.4.Привличане на партньори със съвещателен глас</w:t>
      </w:r>
      <w:bookmarkEnd w:id="240"/>
    </w:p>
    <w:p>
      <w:pPr>
        <w:pStyle w:val="Heading3"/>
        <w:jc w:val="left"/>
        <w:rPr>
          <w:b w:val="0"/>
        </w:rPr>
      </w:pPr>
      <w:bookmarkStart w:id="241" w:name="_Toc256000241"/>
      <w:r>
        <w:rPr>
          <w:b w:val="0"/>
        </w:rPr>
        <w:t>Предмет на съответната консултация</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42" w:name="_Toc256000242"/>
      <w:r>
        <w:rPr>
          <w:b w:val="0"/>
        </w:rPr>
        <w:t>Обобщение на резултатите</w:t>
      </w:r>
      <w:bookmarkEnd w:id="2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43" w:name="_Toc256000243"/>
      <w:r>
        <w:rPr>
          <w:b w:val="0"/>
        </w:rPr>
        <w:t>16.1.5.Представяне на ПРСР на три заседания на КН</w:t>
      </w:r>
      <w:bookmarkEnd w:id="243"/>
    </w:p>
    <w:p>
      <w:pPr>
        <w:pStyle w:val="Heading3"/>
        <w:jc w:val="left"/>
        <w:rPr>
          <w:b w:val="0"/>
        </w:rPr>
      </w:pPr>
      <w:bookmarkStart w:id="244" w:name="_Toc256000244"/>
      <w:r>
        <w:rPr>
          <w:b w:val="0"/>
        </w:rPr>
        <w:t>Предмет на съответната консултация</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1.Обсъждане на анализа и стратегията</w:t>
            </w:r>
          </w:p>
          <w:p>
            <w:pPr>
              <w:spacing w:before="24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2.Обсъждане на проекта на ПРСР(2014-2020)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45" w:name="_Toc256000245"/>
      <w:r>
        <w:rPr>
          <w:b w:val="0"/>
        </w:rPr>
        <w:t>Обобщение на резултатите</w:t>
      </w:r>
      <w:bookmarkEnd w:id="2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Обсъден проект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46" w:name="_Toc256000246"/>
      <w:r>
        <w:rPr>
          <w:b w:val="0"/>
        </w:rPr>
        <w:t>16.1.6.Достъп до информация, прозрачност</w:t>
      </w:r>
      <w:bookmarkEnd w:id="246"/>
    </w:p>
    <w:p>
      <w:pPr>
        <w:pStyle w:val="Heading3"/>
        <w:jc w:val="left"/>
        <w:rPr>
          <w:b w:val="0"/>
        </w:rPr>
      </w:pPr>
      <w:bookmarkStart w:id="247" w:name="_Toc256000247"/>
      <w:r>
        <w:rPr>
          <w:b w:val="0"/>
        </w:rPr>
        <w:t>Предмет на съответната консултация</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48" w:name="_Toc256000248"/>
      <w:r>
        <w:rPr>
          <w:b w:val="0"/>
        </w:rPr>
        <w:t>Обобщение на резултатите</w:t>
      </w:r>
      <w:bookmarkEnd w:id="2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49" w:name="_Toc256000249"/>
      <w:r>
        <w:rPr>
          <w:b w:val="0"/>
        </w:rPr>
        <w:t>(Незадължително) разяснения или допълнителна информация за допълване на списъка с действия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Style w:val="DefaultParagraphFont"/>
                <w:rFonts w:ascii="Times New Roman" w:eastAsia="Times New Roman" w:hAnsi="Times New Roman" w:cs="Times New Roman"/>
                <w:b/>
                <w:bCs/>
                <w:szCs w:val="24"/>
              </w:rPr>
              <w:t>Тематична работна група</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Style w:val="DefaultParagraphFont"/>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2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2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2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2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3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Националния статистически институт;</w:t>
            </w:r>
          </w:p>
          <w:p>
            <w:pPr>
              <w:numPr>
                <w:ilvl w:val="0"/>
                <w:numId w:val="531"/>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Комисията за защита от дискриминация;</w:t>
            </w:r>
          </w:p>
          <w:p>
            <w:pPr>
              <w:numPr>
                <w:ilvl w:val="0"/>
                <w:numId w:val="532"/>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Регионалните съвети за развитие в районите от ниво 2;</w:t>
            </w:r>
          </w:p>
          <w:p>
            <w:pPr>
              <w:numPr>
                <w:ilvl w:val="0"/>
                <w:numId w:val="533"/>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34"/>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3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Националното сдружение на общините в Република България;</w:t>
            </w:r>
          </w:p>
          <w:p>
            <w:pPr>
              <w:numPr>
                <w:ilvl w:val="0"/>
                <w:numId w:val="53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Академична общност;</w:t>
            </w:r>
          </w:p>
          <w:p>
            <w:pPr>
              <w:numPr>
                <w:ilvl w:val="0"/>
                <w:numId w:val="53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Неправителствени организации.</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38"/>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определи членовете на ТРГ, съгласно Механизма и Методиката;</w:t>
            </w:r>
          </w:p>
          <w:p>
            <w:pPr>
              <w:numPr>
                <w:ilvl w:val="0"/>
                <w:numId w:val="538"/>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изготви поименна заповед на членовете на ТРГ;</w:t>
            </w:r>
          </w:p>
          <w:p>
            <w:pPr>
              <w:numPr>
                <w:ilvl w:val="0"/>
                <w:numId w:val="538"/>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изготви Правила за организацията и дейността на ТРГ.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39"/>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39"/>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39"/>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0" w:name="_Toc256000250"/>
      <w:r>
        <w:t>Национална мрежа за селските райони</w:t>
      </w:r>
      <w:bookmarkEnd w:id="250"/>
    </w:p>
    <w:p>
      <w:pPr>
        <w:pStyle w:val="Heading2"/>
      </w:pPr>
      <w:bookmarkStart w:id="251" w:name="_Toc256000251"/>
      <w:r>
        <w:t>Процедура и график за създаването на националната мрежа за селските райони („НМСР“)</w:t>
      </w:r>
      <w:bookmarkEnd w:id="2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Национална селска мрежа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Министерството на земеделието и храните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52" w:name="_Toc256000252"/>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2. Администрация: Министерството на земеделието и храните,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Style w:val="DefaultParagraphFont"/>
                <w:rFonts w:ascii="Times New Roman" w:eastAsia="Times New Roman" w:hAnsi="Times New Roman" w:cs="Times New Roman"/>
                <w:szCs w:val="24"/>
              </w:rPr>
              <w:t>.</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53" w:name="_Toc256000253"/>
      <w:r>
        <w:t>Обобщено описание на основните категории дейности на националната мрежа за селските райони в съответствие с целите на програмата</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Експертна група за подхода ЛИДЕР</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Функции и роля на ЗУ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w:t>
            </w:r>
            <w:r>
              <w:rPr>
                <w:rStyle w:val="DefaultParagraphFont"/>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1.</w:t>
            </w:r>
            <w:r>
              <w:rPr>
                <w:rStyle w:val="DefaultParagraphFont"/>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Style w:val="DefaultParagraphFont"/>
                <w:rFonts w:ascii="Times New Roman" w:eastAsia="Times New Roman" w:hAnsi="Times New Roman" w:cs="Times New Roman"/>
                <w:b/>
                <w:bCs/>
                <w:i/>
                <w:iCs/>
                <w:szCs w:val="24"/>
              </w:rPr>
              <w:t>Януари-февруари 2015 г.</w:t>
            </w:r>
            <w:r>
              <w:rPr>
                <w:rStyle w:val="DefaultParagraphFont"/>
                <w:rFonts w:ascii="Times New Roman" w:eastAsia="Times New Roman" w:hAnsi="Times New Roman" w:cs="Times New Roman"/>
                <w:b/>
                <w:bCs/>
                <w:szCs w:val="24"/>
              </w:rPr>
              <w:t xml:space="preserve"> -   Управляващият орган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2.</w:t>
            </w:r>
            <w:r>
              <w:rPr>
                <w:rStyle w:val="DefaultParagraphFont"/>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Style w:val="DefaultParagraphFont"/>
                <w:rFonts w:ascii="Times New Roman" w:eastAsia="Times New Roman" w:hAnsi="Times New Roman" w:cs="Times New Roman"/>
                <w:b/>
                <w:bCs/>
                <w:i/>
                <w:iCs/>
                <w:szCs w:val="24"/>
              </w:rPr>
              <w:t>Февруари-  декември 2015 г.</w:t>
            </w:r>
            <w:r>
              <w:rPr>
                <w:rStyle w:val="DefaultParagraphFont"/>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w:t>
            </w:r>
            <w:r>
              <w:rPr>
                <w:rStyle w:val="DefaultParagraphFont"/>
                <w:rFonts w:ascii="Times New Roman" w:eastAsia="Times New Roman" w:hAnsi="Times New Roman" w:cs="Times New Roman"/>
                <w:szCs w:val="24"/>
              </w:rPr>
              <w:t xml:space="preserve"> </w:t>
            </w:r>
            <w:r>
              <w:rPr>
                <w:rStyle w:val="DefaultParagraphFont"/>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3. *Сключен договор с избрания изпълнител  -  </w:t>
            </w:r>
            <w:r>
              <w:rPr>
                <w:rStyle w:val="DefaultParagraphFont"/>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Style w:val="DefaultParagraphFont"/>
                <w:rFonts w:ascii="Times New Roman" w:eastAsia="Times New Roman" w:hAnsi="Times New Roman" w:cs="Times New Roman"/>
                <w:b/>
                <w:bCs/>
                <w:szCs w:val="24"/>
              </w:rPr>
              <w:t xml:space="preserve"> -  Дирекция „Обществени поръчки“ на МЗХ;</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4. Създадена Комисия за управление и контрол на проекта   </w:t>
            </w:r>
            <w:r>
              <w:rPr>
                <w:rStyle w:val="DefaultParagraphFont"/>
                <w:rFonts w:ascii="Times New Roman" w:eastAsia="Times New Roman" w:hAnsi="Times New Roman" w:cs="Times New Roman"/>
                <w:b/>
                <w:bCs/>
                <w:i/>
                <w:iCs/>
                <w:szCs w:val="24"/>
              </w:rPr>
              <w:t>-  До края на месец януари 2016 г.</w:t>
            </w:r>
            <w:r>
              <w:rPr>
                <w:rStyle w:val="DefaultParagraphFont"/>
                <w:rFonts w:ascii="Times New Roman" w:eastAsia="Times New Roman" w:hAnsi="Times New Roman" w:cs="Times New Roman"/>
                <w:b/>
                <w:bCs/>
                <w:szCs w:val="24"/>
              </w:rPr>
              <w:t>  -  Управляващият орган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Style w:val="DefaultParagraphFont"/>
                <w:rFonts w:ascii="Times New Roman" w:eastAsia="Times New Roman" w:hAnsi="Times New Roman" w:cs="Times New Roman"/>
                <w:b/>
                <w:bCs/>
                <w:i/>
                <w:iCs/>
                <w:szCs w:val="24"/>
              </w:rPr>
              <w:t xml:space="preserve">След края на месец януари 2016 г.  </w:t>
            </w:r>
            <w:r>
              <w:rPr>
                <w:rStyle w:val="DefaultParagraphFont"/>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w:t>
            </w:r>
            <w:r>
              <w:rPr>
                <w:rStyle w:val="DefaultParagraphFont"/>
                <w:rFonts w:ascii="Times New Roman" w:eastAsia="Times New Roman" w:hAnsi="Times New Roman" w:cs="Times New Roman"/>
                <w:b/>
                <w:bCs/>
                <w:i/>
                <w:iCs/>
                <w:szCs w:val="24"/>
              </w:rPr>
              <w:t>Бележка:</w:t>
            </w:r>
            <w:r>
              <w:rPr>
                <w:rStyle w:val="DefaultParagraphFont"/>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Style w:val="DefaultParagraphFont"/>
                <w:rFonts w:ascii="Times New Roman" w:eastAsia="Times New Roman" w:hAnsi="Times New Roman" w:cs="Times New Roman"/>
                <w:szCs w:val="24"/>
              </w:rPr>
              <w:t xml:space="preserve"> и да влезе в сила не по-рано от 01.01.2016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Комуникация и публичност.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xml:space="preserve">Тематичните работни групи работят на </w:t>
            </w:r>
            <w:r>
              <w:rPr>
                <w:rStyle w:val="DefaultParagraphFont"/>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Управление: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Наблюдение: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u w:val="single"/>
              </w:rPr>
              <w:t>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Цели и дейности на Плана за действие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 xml:space="preserve">Допустими разходи </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10" name=""/>
                  <wp:cNvGraphicFramePr/>
                  <a:graphic xmlns:a="http://schemas.openxmlformats.org/drawingml/2006/main">
                    <a:graphicData uri="http://schemas.openxmlformats.org/drawingml/2006/picture">
                      <pic:pic xmlns:pic="http://schemas.openxmlformats.org/drawingml/2006/picture">
                        <pic:nvPicPr>
                          <pic:cNvPr id="1786831438" name=""/>
                          <pic:cNvPicPr/>
                        </pic:nvPicPr>
                        <pic:blipFill>
                          <a:blip xmlns:r="http://schemas.openxmlformats.org/officeDocument/2006/relationships" r:embed="rId20"/>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54" w:name="_Toc256000254"/>
      <w:r>
        <w:t>Налични ресурси за създаването и привеждането в действие на националната мрежа за селските райони</w:t>
      </w:r>
      <w:bookmarkEnd w:id="2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i/>
                <w:iCs/>
                <w:szCs w:val="24"/>
              </w:rPr>
              <w:t>Бюджет на НСМ</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55" w:name="_Toc256000255"/>
      <w:r>
        <w:t>Предварителна оценка на доказуемостта и на възможността за контрол, както и на риска от грешки</w:t>
      </w:r>
      <w:bookmarkEnd w:id="255"/>
    </w:p>
    <w:p>
      <w:pPr>
        <w:pStyle w:val="Heading2"/>
      </w:pPr>
      <w:bookmarkStart w:id="256" w:name="_Toc256000256"/>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Оценка на риска</w:t>
            </w:r>
          </w:p>
          <w:p>
            <w:pPr>
              <w:numPr>
                <w:ilvl w:val="0"/>
                <w:numId w:val="540"/>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41"/>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Разумност на предложените разходи при частните бенефициенти;</w:t>
            </w:r>
          </w:p>
          <w:p>
            <w:pPr>
              <w:numPr>
                <w:ilvl w:val="0"/>
                <w:numId w:val="5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Проведени обществени поръчки за публичните бенефициенти;</w:t>
            </w:r>
          </w:p>
          <w:p>
            <w:pPr>
              <w:numPr>
                <w:ilvl w:val="0"/>
                <w:numId w:val="5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Спазване на поети дългосрочни ангажименти;</w:t>
            </w:r>
          </w:p>
          <w:p>
            <w:pPr>
              <w:numPr>
                <w:ilvl w:val="0"/>
                <w:numId w:val="5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Допустимост на кандидатите в случаите на МСП;</w:t>
            </w:r>
          </w:p>
          <w:p>
            <w:pPr>
              <w:numPr>
                <w:ilvl w:val="0"/>
                <w:numId w:val="541"/>
              </w:numPr>
              <w:spacing w:before="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Изкуствено създадени условия;</w:t>
            </w:r>
          </w:p>
          <w:p>
            <w:pPr>
              <w:numPr>
                <w:ilvl w:val="0"/>
                <w:numId w:val="541"/>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Изискванията за минималните помощи.</w:t>
            </w:r>
          </w:p>
          <w:p>
            <w:pPr>
              <w:numPr>
                <w:ilvl w:val="0"/>
                <w:numId w:val="542"/>
              </w:numPr>
              <w:spacing w:before="24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Предварителната оценка сочи, че съществува риск от:</w:t>
            </w:r>
          </w:p>
          <w:p>
            <w:pPr>
              <w:numPr>
                <w:ilvl w:val="0"/>
                <w:numId w:val="543"/>
              </w:numPr>
              <w:spacing w:before="240" w:after="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43"/>
              </w:numPr>
              <w:spacing w:before="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Мерки за минимизиране на риска</w:t>
            </w:r>
          </w:p>
          <w:p>
            <w:pPr>
              <w:numPr>
                <w:ilvl w:val="0"/>
                <w:numId w:val="544"/>
              </w:numPr>
              <w:spacing w:before="24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Повишаване на административния капацитет на РА за извършване на проверки в областта на обществените поръчки. Дефиниране в нормативната уредба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44"/>
              </w:numPr>
              <w:spacing w:before="0" w:after="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numPr>
                <w:ilvl w:val="0"/>
                <w:numId w:val="544"/>
              </w:numPr>
              <w:spacing w:before="0" w:after="240"/>
              <w:ind w:left="720" w:hanging="28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u w:val="single"/>
              </w:rPr>
              <w:t>Обща оценка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57" w:name="_Toc256000257"/>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1 „Трансфер на знания и действия за осведомяване“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и храните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и храните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Удостоверение, потвърждаващо адекватността и точността на изчисленията</w:t>
            </w:r>
            <w:r>
              <w:rPr>
                <w:rStyle w:val="DefaultParagraphFont"/>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Съюза на икономистите в България, който е функционално независим орган от Министерство на земеделието и храните и Държавен фонд „Земеделие“.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58" w:name="_Toc256000258"/>
      <w:r>
        <w:t>Преходни условия</w:t>
      </w:r>
      <w:bookmarkEnd w:id="258"/>
    </w:p>
    <w:p>
      <w:pPr>
        <w:pStyle w:val="Heading2"/>
      </w:pPr>
      <w:bookmarkStart w:id="259" w:name="_Toc256000259"/>
      <w:r>
        <w:t>Описание на преходните условия по мерки</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Описание на преходните условия по мерки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45"/>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46"/>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47"/>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142 „Създаване на групи на производители”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48"/>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214 „Агроекологични плащания“</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49"/>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50"/>
              </w:numPr>
              <w:spacing w:before="240" w:after="240"/>
              <w:ind w:left="720" w:hanging="21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Style w:val="DefaultParagraphFont"/>
                <w:rFonts w:ascii="Times New Roman" w:eastAsia="Times New Roman" w:hAnsi="Times New Roman" w:cs="Times New Roman"/>
                <w:sz w:val="24"/>
                <w:szCs w:val="24"/>
              </w:rPr>
            </w:pPr>
            <w:r>
              <w:rPr>
                <w:rStyle w:val="DefaultParagraphFont"/>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0" w:name="_Toc256000260"/>
      <w:r>
        <w:t>Ориентировъчна таблица за пренос на средства</w:t>
      </w:r>
      <w:bookmarkEnd w:id="2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1" w:name="_Toc256000261"/>
      <w:r>
        <w:t>Тематични подпрограми</w:t>
      </w:r>
      <w:bookmarkEnd w:id="2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Heading1"/>
        <w:rPr>
          <w:b w:val="0"/>
          <w:i w:val="0"/>
        </w:rPr>
      </w:pPr>
      <w:bookmarkStart w:id="262" w:name="_Toc256000262"/>
      <w:r>
        <w:rPr>
          <w:b w:val="0"/>
          <w:i w:val="0"/>
        </w:rPr>
        <w:t>Документи</w:t>
      </w:r>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15"/>
        <w:gridCol w:w="1466"/>
        <w:gridCol w:w="1233"/>
        <w:gridCol w:w="1322"/>
        <w:gridCol w:w="1485"/>
        <w:gridCol w:w="1275"/>
        <w:gridCol w:w="3408"/>
        <w:gridCol w:w="1273"/>
        <w:gridCol w:w="124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Ares(2017)404108</w:t>
            </w:r>
          </w:p>
        </w:tc>
        <w:tc>
          <w:tcPr>
            <w:tcW w:w="2000" w:type="pct"/>
            <w:shd w:val="clear" w:color="auto" w:fill="FFFFFF"/>
            <w:noWrap w:val="0"/>
            <w:tcMar>
              <w:top w:w="60" w:type="dxa"/>
            </w:tcMar>
            <w:vAlign w:val="top"/>
          </w:tcPr>
          <w:p>
            <w:pPr>
              <w:jc w:val="left"/>
              <w:rPr>
                <w:b w:val="0"/>
                <w:i w:val="0"/>
                <w:sz w:val="16"/>
              </w:rPr>
            </w:pPr>
            <w:r>
              <w:rPr>
                <w:b w:val="0"/>
                <w:i w:val="0"/>
                <w:sz w:val="16"/>
              </w:rPr>
              <w:t>3611301363</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Ares(2017)404108</w:t>
            </w:r>
          </w:p>
        </w:tc>
        <w:tc>
          <w:tcPr>
            <w:tcW w:w="2000" w:type="pct"/>
            <w:shd w:val="clear" w:color="auto" w:fill="FFFFFF"/>
            <w:noWrap w:val="0"/>
            <w:tcMar>
              <w:top w:w="60" w:type="dxa"/>
            </w:tcMar>
            <w:vAlign w:val="top"/>
          </w:tcPr>
          <w:p>
            <w:pPr>
              <w:jc w:val="left"/>
              <w:rPr>
                <w:b w:val="0"/>
                <w:i w:val="0"/>
                <w:sz w:val="16"/>
              </w:rPr>
            </w:pPr>
            <w:r>
              <w:rPr>
                <w:b w:val="0"/>
                <w:i w:val="0"/>
                <w:sz w:val="16"/>
              </w:rPr>
              <w:t>1680200898</w:t>
            </w:r>
          </w:p>
        </w:tc>
        <w:tc>
          <w:tcPr>
            <w:tcW w:w="2000" w:type="pct"/>
            <w:shd w:val="clear" w:color="auto" w:fill="FFFFFF"/>
            <w:noWrap w:val="0"/>
            <w:tcMar>
              <w:top w:w="60" w:type="dxa"/>
            </w:tcMar>
            <w:vAlign w:val="top"/>
          </w:tcPr>
          <w:p>
            <w:pPr>
              <w:jc w:val="left"/>
              <w:rPr>
                <w:b w:val="0"/>
                <w:i w:val="0"/>
                <w:sz w:val="16"/>
              </w:rPr>
            </w:pPr>
            <w:r>
              <w:rPr>
                <w:b w:val="0"/>
                <w:i w:val="0"/>
                <w:sz w:val="16"/>
              </w:rPr>
              <w:t>Приложение към раздел 3_FINAL Ex ante report BG RDP 2014-2020_BG</w:t>
            </w:r>
          </w:p>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 xml:space="preserve">Приложение към Раздел 3_Таблица с препоръките от предварителната оценка </w:t>
            </w:r>
          </w:p>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Приложение към раздел 3_Обобщена справка за съответствието на ПРСР с постановеното в Становището на МОСВ за ЕО</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Ares(2017)404108</w:t>
            </w:r>
          </w:p>
        </w:tc>
        <w:tc>
          <w:tcPr>
            <w:tcW w:w="2000" w:type="pct"/>
            <w:shd w:val="clear" w:color="auto" w:fill="FFFFFF"/>
            <w:noWrap w:val="0"/>
            <w:tcMar>
              <w:top w:w="60" w:type="dxa"/>
            </w:tcMar>
            <w:vAlign w:val="top"/>
          </w:tcPr>
          <w:p>
            <w:pPr>
              <w:jc w:val="left"/>
              <w:rPr>
                <w:b w:val="0"/>
                <w:i w:val="0"/>
                <w:sz w:val="16"/>
              </w:rPr>
            </w:pPr>
            <w:r>
              <w:rPr>
                <w:b w:val="0"/>
                <w:i w:val="0"/>
                <w:sz w:val="16"/>
              </w:rPr>
              <w:t>3891565029</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stopanstva-2015-1-20-razpred finans sredstva</w:t>
            </w:r>
          </w:p>
          <w:p>
            <w:pPr>
              <w:jc w:val="left"/>
              <w:rPr>
                <w:b w:val="0"/>
                <w:i w:val="0"/>
                <w:sz w:val="16"/>
              </w:rPr>
            </w:pPr>
            <w:r>
              <w:rPr>
                <w:b w:val="0"/>
                <w:i w:val="0"/>
                <w:sz w:val="16"/>
              </w:rPr>
              <w:t>Tematichna+podprograma+za+malki+stopanstva-2016-06-08</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r>
              <w:rPr>
                <w:b w:val="0"/>
                <w:i w:val="0"/>
                <w:sz w:val="16"/>
              </w:rPr>
              <w:t>naspaant</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Bold r:id="rId1" w:fontKey="{23227CB6-E11D-41EA-A6B6-26E0D9696A69}"/>
    <w:embedItalic r:id="rId2" w:fontKey="{3535131C-D913-4236-AB53-851B38413DD0}"/>
    <w:embedBoldItalic r:id="rId3" w:fontKey="{90C63B91-9815-443E-A1F4-D72F9D839F5E}"/>
  </w:font>
  <w:font w:name="Symbol">
    <w:panose1 w:val="05050102010706020507"/>
    <w:charset w:val="02"/>
    <w:family w:val="roman"/>
    <w:pitch w:val="variable"/>
    <w:sig w:usb0="00000000" w:usb1="10000000" w:usb2="00000000" w:usb3="00000000" w:csb0="80000000" w:csb1="00000000"/>
    <w:embedRegular r:id="rId4" w:fontKey="{6CAB5AD1-5709-41B3-A17E-328D5ED4F98F}"/>
  </w:font>
  <w:font w:name="Arial">
    <w:panose1 w:val="020B0604020202020204"/>
    <w:charset w:val="00"/>
    <w:family w:val="swiss"/>
    <w:pitch w:val="variable"/>
    <w:sig w:usb0="E0002AFF" w:usb1="C0007843" w:usb2="00000009" w:usb3="00000000" w:csb0="000001FF" w:csb1="00000000"/>
    <w:embedBold r:id="rId5" w:fontKey="{56F5A6E4-48E2-41C4-8341-9CB66659D5C7}"/>
    <w:embedItalic r:id="rId6" w:fontKey="{D86D761A-BDD0-4699-BC17-156D10E97472}"/>
  </w:font>
  <w:font w:name="Calibri">
    <w:panose1 w:val="020F0502020204030204"/>
    <w:charset w:val="00"/>
    <w:family w:val="swiss"/>
    <w:pitch w:val="variable"/>
    <w:sig w:usb0="E10002FF" w:usb1="4000ACFF" w:usb2="00000009" w:usb3="00000000" w:csb0="0000019F" w:csb1="00000000"/>
    <w:embedRegular r:id="rId7" w:fontKey="{ED5D88DB-C6E3-41FE-82DD-90932ED346F4}"/>
  </w:font>
  <w:font w:name="Tahoma">
    <w:panose1 w:val="020B0604030504040204"/>
    <w:charset w:val="00"/>
    <w:family w:val="swiss"/>
    <w:pitch w:val="variable"/>
    <w:sig w:usb0="E1002EFF" w:usb1="C000605B" w:usb2="00000029" w:usb3="00000000" w:csb0="000101FF" w:csb1="00000000"/>
    <w:embedRegular r:id="rId8" w:fontKey="{7FF491C5-E628-4393-97C7-14EA92AECC15}"/>
  </w:font>
  <w:font w:name="Courier New">
    <w:panose1 w:val="02070309020205020404"/>
    <w:charset w:val="00"/>
    <w:family w:val="modern"/>
    <w:pitch w:val="fixed"/>
    <w:sig w:usb0="E0002AFF" w:usb1="C0007843" w:usb2="00000009" w:usb3="00000000" w:csb0="000001FF" w:csb1="00000000"/>
    <w:embedRegular r:id="rId9" w:fontKey="{62BA4D1E-22ED-4B07-9B5B-C3A1A00C8558}"/>
  </w:font>
  <w:font w:name="Cambria Math">
    <w:panose1 w:val="02040503050406030204"/>
    <w:charset w:val="00"/>
    <w:family w:val="roman"/>
    <w:pitch w:val="variable"/>
    <w:sig w:usb0="E00002FF" w:usb1="420024FF" w:usb2="00000000" w:usb3="00000000" w:csb0="0000019F" w:csb1="00000000"/>
    <w:embedRegular r:id="rId10" w:fontKey="{B8B99176-7077-4C48-BFDF-343DC5A08FF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826</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lvl w:ilvl="0">
      <w:start w:val="1"/>
      <w:numFmt w:val="decimal"/>
      <w:suff w:val="space"/>
      <w:lvlText w:val="%1."/>
      <w:lvlJc w:val="left"/>
      <w:pPr>
        <w:ind w:left="357" w:hanging="357"/>
      </w:pPr>
      <w:rPr>
        <w:rFonts w:hint="default"/>
      </w:rPr>
    </w:lvl>
    <w:lvl w:ilvl="1">
      <w:start w:val="1"/>
      <w:numFmt w:val="decimal"/>
      <w:suff w:val="space"/>
      <w:lvlText w:val="%1.%2."/>
      <w:lvlJc w:val="left"/>
      <w:pPr>
        <w:ind w:left="714" w:hanging="357"/>
      </w:pPr>
      <w:rPr>
        <w:rFonts w:hint="default"/>
      </w:rPr>
    </w:lvl>
    <w:lvl w:ilvl="2">
      <w:start w:val="1"/>
      <w:numFmt w:val="decimal"/>
      <w:suff w:val="space"/>
      <w:lvlText w:val="%1.%2.%3."/>
      <w:lvlJc w:val="left"/>
      <w:pPr>
        <w:ind w:left="1071" w:hanging="357"/>
      </w:pPr>
      <w:rPr>
        <w:rFonts w:hint="default"/>
        <w:color w:val="auto"/>
      </w:rPr>
    </w:lvl>
    <w:lvl w:ilvl="3">
      <w:start w:val="1"/>
      <w:numFmt w:val="decimal"/>
      <w:suff w:val="space"/>
      <w:lvlText w:val="%1.%2.%3.%4."/>
      <w:lvlJc w:val="left"/>
      <w:pPr>
        <w:ind w:left="1428" w:hanging="357"/>
      </w:pPr>
      <w:rPr>
        <w:rFonts w:hint="default"/>
      </w:rPr>
    </w:lvl>
    <w:lvl w:ilvl="4">
      <w:start w:val="1"/>
      <w:numFmt w:val="decimal"/>
      <w:suff w:val="space"/>
      <w:lvlText w:val="%1.%2.%3.%4.%5."/>
      <w:lvlJc w:val="left"/>
      <w:pPr>
        <w:ind w:left="1785" w:hanging="357"/>
      </w:pPr>
      <w:rPr>
        <w:rFonts w:hint="default"/>
      </w:rPr>
    </w:lvl>
    <w:lvl w:ilvl="5">
      <w:start w:val="1"/>
      <w:numFmt w:val="decimal"/>
      <w:suff w:val="space"/>
      <w:lvlText w:val="%1.%2.%3.%4.%5.%6."/>
      <w:lvlJc w:val="left"/>
      <w:pPr>
        <w:ind w:left="2142" w:hanging="357"/>
      </w:pPr>
      <w:rPr>
        <w:rFonts w:hint="default"/>
      </w:rPr>
    </w:lvl>
    <w:lvl w:ilvl="6">
      <w:start w:val="1"/>
      <w:numFmt w:val="decimal"/>
      <w:suff w:val="space"/>
      <w:lvlText w:val="%1.%2.%3.%4.%5.%6.%7."/>
      <w:lvlJc w:val="left"/>
      <w:pPr>
        <w:ind w:left="2499" w:hanging="357"/>
      </w:pPr>
      <w:rPr>
        <w:rFonts w:hint="default"/>
      </w:rPr>
    </w:lvl>
    <w:lvl w:ilvl="7">
      <w:start w:val="1"/>
      <w:numFmt w:val="decimal"/>
      <w:suff w:val="space"/>
      <w:lvlText w:val="%1.%2.%3.%4.%5.%6.%7.%8."/>
      <w:lvlJc w:val="left"/>
      <w:pPr>
        <w:ind w:left="2856" w:hanging="357"/>
      </w:pPr>
      <w:rPr>
        <w:rFonts w:hint="default"/>
      </w:rPr>
    </w:lvl>
    <w:lvl w:ilvl="8">
      <w:start w:val="1"/>
      <w:numFmt w:val="decimal"/>
      <w:suff w:val="space"/>
      <w:lvlText w:val="%1.%2.%3.%4.%5.%6.%7.%8.%9."/>
      <w:lvlJc w:val="left"/>
      <w:pPr>
        <w:ind w:left="3213" w:hanging="357"/>
      </w:pPr>
      <w:rPr>
        <w:rFonts w:hint="default"/>
      </w:rPr>
    </w:lvl>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hybridMultilevel"/>
    <w:tmpl w:val="722305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6">
    <w:nsid w:val="72230535"/>
    <w:multiLevelType w:val="hybridMultilevel"/>
    <w:tmpl w:val="722305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7">
    <w:nsid w:val="72230536"/>
    <w:multiLevelType w:val="hybridMultilevel"/>
    <w:tmpl w:val="722305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multilevel"/>
    <w:tmpl w:val="7223053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nsid w:val="72230538"/>
    <w:multiLevelType w:val="multilevel"/>
    <w:tmpl w:val="7223053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0">
    <w:nsid w:val="72230539"/>
    <w:multiLevelType w:val="multilevel"/>
    <w:tmpl w:val="7223053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1">
    <w:nsid w:val="7223053A"/>
    <w:multiLevelType w:val="multilevel"/>
    <w:tmpl w:val="7223053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7223053B"/>
    <w:multiLevelType w:val="hybridMultilevel"/>
    <w:tmpl w:val="722305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3">
    <w:nsid w:val="7223053C"/>
    <w:multiLevelType w:val="hybridMultilevel"/>
    <w:tmpl w:val="722305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4">
    <w:nsid w:val="7223053D"/>
    <w:multiLevelType w:val="hybridMultilevel"/>
    <w:tmpl w:val="722305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multilevel"/>
    <w:tmpl w:val="7223053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multilevel"/>
    <w:tmpl w:val="7223054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hybridMultilevel"/>
    <w:tmpl w:val="722305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multilevel"/>
    <w:tmpl w:val="722305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hybridMultilevel"/>
    <w:tmpl w:val="7223054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7">
    <w:nsid w:val="7223054A"/>
    <w:multiLevelType w:val="hybridMultilevel"/>
    <w:tmpl w:val="722305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multilevel"/>
    <w:tmpl w:val="7223054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0">
    <w:nsid w:val="7223054D"/>
    <w:multiLevelType w:val="hybridMultilevel"/>
    <w:tmpl w:val="7223054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multilevel"/>
    <w:tmpl w:val="7223055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5">
    <w:nsid w:val="72230552"/>
    <w:multiLevelType w:val="hybridMultilevel"/>
    <w:tmpl w:val="7223055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hybridMultilevel"/>
    <w:tmpl w:val="722305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multilevel"/>
    <w:tmpl w:val="7223055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multilevel"/>
    <w:tmpl w:val="7223055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6">
    <w:nsid w:val="7223055D"/>
    <w:multiLevelType w:val="hybridMultilevel"/>
    <w:tmpl w:val="7223055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hybridMultilevel"/>
    <w:tmpl w:val="722305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multilevel"/>
    <w:tmpl w:val="7223056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3">
    <w:nsid w:val="72230564"/>
    <w:multiLevelType w:val="hybridMultilevel"/>
    <w:tmpl w:val="7223056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hybridMultilevel"/>
    <w:tmpl w:val="722305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6">
    <w:nsid w:val="72230567"/>
    <w:multiLevelType w:val="hybridMultilevel"/>
    <w:tmpl w:val="722305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multilevel"/>
    <w:tmpl w:val="722305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hybridMultilevel"/>
    <w:tmpl w:val="722305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multilevel"/>
    <w:tmpl w:val="7223057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nsid w:val="72230572"/>
    <w:multiLevelType w:val="hybridMultilevel"/>
    <w:tmpl w:val="722305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8">
    <w:nsid w:val="72230573"/>
    <w:multiLevelType w:val="hybridMultilevel"/>
    <w:tmpl w:val="722305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hybridMultilevel"/>
    <w:tmpl w:val="7223057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hybridMultilevel"/>
    <w:tmpl w:val="722305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hybridMultilevel"/>
    <w:tmpl w:val="722305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9">
    <w:nsid w:val="7223057E"/>
    <w:multiLevelType w:val="hybridMultilevel"/>
    <w:tmpl w:val="7223057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0">
    <w:nsid w:val="7223057F"/>
    <w:multiLevelType w:val="hybridMultilevel"/>
    <w:tmpl w:val="722305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1">
    <w:nsid w:val="72230580"/>
    <w:multiLevelType w:val="hybridMultilevel"/>
    <w:tmpl w:val="722305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2">
    <w:nsid w:val="72230581"/>
    <w:multiLevelType w:val="hybridMultilevel"/>
    <w:tmpl w:val="722305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multilevel"/>
    <w:tmpl w:val="7223058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hybridMultilevel"/>
    <w:tmpl w:val="722305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multilevel"/>
    <w:tmpl w:val="722305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multilevel"/>
    <w:tmpl w:val="722305B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multilevel"/>
    <w:tmpl w:val="722305C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7">
    <w:nsid w:val="722305C2"/>
    <w:multiLevelType w:val="hybridMultilevel"/>
    <w:tmpl w:val="722305C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multilevel"/>
    <w:tmpl w:val="722305C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multilevel"/>
    <w:tmpl w:val="722305C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hybridMultilevel"/>
    <w:tmpl w:val="722305C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multilevel"/>
    <w:tmpl w:val="722305D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multilevel"/>
    <w:tmpl w:val="722305D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4">
    <w:nsid w:val="722305D3"/>
    <w:multiLevelType w:val="hybridMultilevel"/>
    <w:tmpl w:val="722305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hybridMultilevel"/>
    <w:tmpl w:val="722305D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multilevel"/>
    <w:tmpl w:val="722305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multilevel"/>
    <w:tmpl w:val="722305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multilevel"/>
    <w:tmpl w:val="722305E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hybridMultilevel"/>
    <w:tmpl w:val="722305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multilevel"/>
    <w:tmpl w:val="722305E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multilevel"/>
    <w:tmpl w:val="722305F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multilevel"/>
    <w:tmpl w:val="722305F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0">
    <w:nsid w:val="722305F7"/>
    <w:multiLevelType w:val="multilevel"/>
    <w:tmpl w:val="722305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multilevel"/>
    <w:tmpl w:val="722305F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hybridMultilevel"/>
    <w:tmpl w:val="722305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multilevel"/>
    <w:tmpl w:val="722306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multilevel"/>
    <w:tmpl w:val="7223065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5">
    <w:nsid w:val="72230656"/>
    <w:multiLevelType w:val="multilevel"/>
    <w:tmpl w:val="7223065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multilevel"/>
    <w:tmpl w:val="7223066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multilevel"/>
    <w:tmpl w:val="7223066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multilevel"/>
    <w:tmpl w:val="7223066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multilevel"/>
    <w:tmpl w:val="7223067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multilevel"/>
    <w:tmpl w:val="722306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hybridMultilevel"/>
    <w:tmpl w:val="722306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multilevel"/>
    <w:tmpl w:val="7223068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7">
    <w:nsid w:val="7223068A"/>
    <w:multiLevelType w:val="multilevel"/>
    <w:tmpl w:val="7223068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multilevel"/>
    <w:tmpl w:val="7223068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multilevel"/>
    <w:tmpl w:val="7223069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hybridMultilevel"/>
    <w:tmpl w:val="722306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hybridMultilevel"/>
    <w:tmpl w:val="7223069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hybridMultilevel"/>
    <w:tmpl w:val="722306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9">
    <w:nsid w:val="72230696"/>
    <w:multiLevelType w:val="multilevel"/>
    <w:tmpl w:val="7223069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0">
    <w:nsid w:val="72230697"/>
    <w:multiLevelType w:val="hybridMultilevel"/>
    <w:tmpl w:val="7223069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multilevel"/>
    <w:tmpl w:val="722306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3">
    <w:nsid w:val="7223069A"/>
    <w:multiLevelType w:val="hybridMultilevel"/>
    <w:tmpl w:val="7223069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multilevel"/>
    <w:tmpl w:val="7223069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5">
    <w:nsid w:val="7223069C"/>
    <w:multiLevelType w:val="hybridMultilevel"/>
    <w:tmpl w:val="7223069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multilevel"/>
    <w:tmpl w:val="7223069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8">
    <w:nsid w:val="7223069F"/>
    <w:multiLevelType w:val="hybridMultilevel"/>
    <w:tmpl w:val="722306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multilevel"/>
    <w:tmpl w:val="722306B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multilevel"/>
    <w:tmpl w:val="722306C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4">
    <w:nsid w:val="722306CD"/>
    <w:multiLevelType w:val="multilevel"/>
    <w:tmpl w:val="722306C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5">
    <w:nsid w:val="722306CE"/>
    <w:multiLevelType w:val="multilevel"/>
    <w:tmpl w:val="722306C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6">
    <w:nsid w:val="722306CF"/>
    <w:multiLevelType w:val="multilevel"/>
    <w:tmpl w:val="722306C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multilevel"/>
    <w:tmpl w:val="722306D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multilevel"/>
    <w:tmpl w:val="722306E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multilevel"/>
    <w:tmpl w:val="722306E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jpeg" /><Relationship Id="rId2" Type="http://schemas.openxmlformats.org/officeDocument/2006/relationships/webSettings" Target="webSettings.xml" /><Relationship Id="rId20" Type="http://schemas.openxmlformats.org/officeDocument/2006/relationships/image" Target="media/image10.jpeg" /><Relationship Id="rId21" Type="http://schemas.openxmlformats.org/officeDocument/2006/relationships/numbering" Target="numbering.xml" /><Relationship Id="rId22"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826</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